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6212FB" w:rsidRPr="00F55419" w:rsidP="00F55419">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11177220</wp:posOffset>
                </wp:positionH>
                <wp:positionV relativeFrom="paragraph">
                  <wp:posOffset>-333354</wp:posOffset>
                </wp:positionV>
                <wp:extent cx="2795684" cy="328295"/>
                <wp:effectExtent l="0" t="0" r="24130" b="14605"/>
                <wp:wrapNone/>
                <wp:docPr id="6" name="Text Box 6"/>
                <wp:cNvGraphicFramePr/>
                <a:graphic xmlns:a="http://schemas.openxmlformats.org/drawingml/2006/main">
                  <a:graphicData uri="http://schemas.microsoft.com/office/word/2010/wordprocessingShape">
                    <wps:wsp xmlns:wps="http://schemas.microsoft.com/office/word/2010/wordprocessingShape">
                      <wps:cNvSpPr txBox="1"/>
                      <wps:spPr>
                        <a:xfrm>
                          <a:off x="0" y="0"/>
                          <a:ext cx="2795684" cy="328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1FCC" w:rsidRPr="00311FCC">
                            <w:pPr>
                              <w:rPr>
                                <w:b/>
                                <w:sz w:val="24"/>
                                <w:szCs w:val="24"/>
                              </w:rPr>
                            </w:pPr>
                            <w:r>
                              <w:rPr>
                                <w:b/>
                                <w:sz w:val="24"/>
                                <w:szCs w:val="24"/>
                              </w:rPr>
                              <w:t xml:space="preserve">                                                  </w:t>
                            </w:r>
                            <w:r w:rsidRPr="00311FCC">
                              <w:rPr>
                                <w:b/>
                                <w:sz w:val="24"/>
                                <w:szCs w:val="24"/>
                              </w:rPr>
                              <w:t xml:space="preserve">Appendix </w:t>
                            </w:r>
                            <w:r w:rsidR="007F741A">
                              <w:rPr>
                                <w:b/>
                                <w:sz w:val="24"/>
                                <w:szCs w:val="24"/>
                              </w:rPr>
                              <w:t xml:space="preserve"> 4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5" type="#_x0000_t202" style="width:220.15pt;height:25.85pt;margin-top:-26.25pt;margin-left:880.1pt;mso-height-percent:0;mso-height-relative:margin;mso-width-percent:0;mso-width-relative:margin;mso-wrap-distance-bottom:0;mso-wrap-distance-left:9pt;mso-wrap-distance-right:9pt;mso-wrap-distance-top:0;mso-wrap-style:square;position:absolute;visibility:visible;v-text-anchor:top;z-index:251674624" fillcolor="white" strokeweight="0.5pt">
                <v:textbox>
                  <w:txbxContent>
                    <w:p w:rsidR="00311FCC" w:rsidRPr="00311FCC">
                      <w:pPr>
                        <w:rPr>
                          <w:b/>
                          <w:sz w:val="24"/>
                          <w:szCs w:val="24"/>
                        </w:rPr>
                      </w:pPr>
                      <w:r>
                        <w:rPr>
                          <w:b/>
                          <w:sz w:val="24"/>
                          <w:szCs w:val="24"/>
                        </w:rPr>
                        <w:t xml:space="preserve">                                                  </w:t>
                      </w:r>
                      <w:r w:rsidRPr="00311FCC">
                        <w:rPr>
                          <w:b/>
                          <w:sz w:val="24"/>
                          <w:szCs w:val="24"/>
                        </w:rPr>
                        <w:t xml:space="preserve">Appendix </w:t>
                      </w:r>
                      <w:r w:rsidR="007F741A">
                        <w:rPr>
                          <w:b/>
                          <w:sz w:val="24"/>
                          <w:szCs w:val="24"/>
                        </w:rPr>
                        <w:t xml:space="preserve"> </w:t>
                      </w:r>
                      <w:bookmarkStart w:id="0" w:name="_GoBack"/>
                      <w:bookmarkEnd w:id="0"/>
                      <w:r w:rsidR="007F741A">
                        <w:rPr>
                          <w:b/>
                          <w:sz w:val="24"/>
                          <w:szCs w:val="24"/>
                        </w:rPr>
                        <w:t xml:space="preserve">4 </w:t>
                      </w:r>
                    </w:p>
                  </w:txbxContent>
                </v:textbox>
              </v:shape>
            </w:pict>
          </mc:Fallback>
        </mc:AlternateContent>
      </w:r>
      <w:r>
        <w:rPr>
          <w:noProof/>
          <w:lang w:eastAsia="en-GB"/>
        </w:rPr>
        <w:drawing>
          <wp:anchor distT="0" distB="0" distL="114300" distR="114300" simplePos="0" relativeHeight="251666432" behindDoc="1" locked="0" layoutInCell="1" allowOverlap="1">
            <wp:simplePos x="0" y="0"/>
            <wp:positionH relativeFrom="page">
              <wp:posOffset>11290835</wp:posOffset>
            </wp:positionH>
            <wp:positionV relativeFrom="paragraph">
              <wp:posOffset>35339</wp:posOffset>
            </wp:positionV>
            <wp:extent cx="3329940" cy="853882"/>
            <wp:effectExtent l="0" t="0" r="3810" b="3810"/>
            <wp:wrapTight wrapText="bothSides">
              <wp:wrapPolygon>
                <wp:start x="0" y="0"/>
                <wp:lineTo x="0" y="21214"/>
                <wp:lineTo x="21501" y="21214"/>
                <wp:lineTo x="21501" y="0"/>
                <wp:lineTo x="0" y="0"/>
              </wp:wrapPolygon>
            </wp:wrapTight>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590971" name="Picture 1" descr="\\psf\Home\Desktop\CD logo.jpg"/>
                    <pic:cNvPicPr>
                      <a:picLocks noChangeAspect="1" noChangeArrowheads="1"/>
                    </pic:cNvPicPr>
                  </pic:nvPicPr>
                  <pic:blipFill rotWithShape="1">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rcRect t="16099" b="14773"/>
                    <a:stretch>
                      <a:fillRect/>
                    </a:stretch>
                  </pic:blipFill>
                  <pic:spPr bwMode="auto">
                    <a:xfrm>
                      <a:off x="0" y="0"/>
                      <a:ext cx="3329940" cy="853882"/>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63BC">
        <w:rPr>
          <w:noProof/>
          <w:lang w:eastAsia="en-GB"/>
        </w:rPr>
        <mc:AlternateContent>
          <mc:Choice Requires="wps">
            <w:drawing>
              <wp:anchor distT="0" distB="0" distL="114300" distR="114300" simplePos="0" relativeHeight="251667456" behindDoc="0" locked="0" layoutInCell="1" allowOverlap="1">
                <wp:simplePos x="0" y="0"/>
                <wp:positionH relativeFrom="column">
                  <wp:posOffset>5673334</wp:posOffset>
                </wp:positionH>
                <wp:positionV relativeFrom="paragraph">
                  <wp:posOffset>-119868</wp:posOffset>
                </wp:positionV>
                <wp:extent cx="4158615" cy="9900236"/>
                <wp:effectExtent l="0" t="0" r="13335" b="2540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4158615" cy="99002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EC7" w:rsidP="00DD1F54">
                            <w:pPr>
                              <w:spacing w:after="0" w:line="240" w:lineRule="auto"/>
                              <w:rPr>
                                <w:sz w:val="18"/>
                                <w:szCs w:val="18"/>
                              </w:rPr>
                            </w:pPr>
                            <w:r w:rsidRPr="00461BB9">
                              <w:rPr>
                                <w:sz w:val="18"/>
                                <w:szCs w:val="18"/>
                              </w:rPr>
                              <w:t xml:space="preserve">  </w:t>
                            </w:r>
                            <w:r w:rsidRPr="00190ACD">
                              <w:rPr>
                                <w:rFonts w:cs="Arial"/>
                                <w:b/>
                                <w:color w:val="FF0000"/>
                              </w:rPr>
                              <w:t>A</w:t>
                            </w:r>
                            <w:r w:rsidRPr="00190ACD">
                              <w:rPr>
                                <w:b/>
                                <w:color w:val="FF0000"/>
                              </w:rPr>
                              <w:t xml:space="preserve">582 </w:t>
                            </w:r>
                            <w:r w:rsidRPr="00190ACD">
                              <w:rPr>
                                <w:b/>
                                <w:color w:val="FF0000"/>
                              </w:rPr>
                              <w:t>Dualling</w:t>
                            </w:r>
                            <w:r w:rsidRPr="00190ACD">
                              <w:rPr>
                                <w:b/>
                                <w:color w:val="FF0000"/>
                                <w:sz w:val="18"/>
                                <w:szCs w:val="18"/>
                              </w:rPr>
                              <w:t xml:space="preserve"> </w:t>
                            </w:r>
                            <w:r w:rsidRPr="00E26E9F">
                              <w:rPr>
                                <w:b/>
                                <w:sz w:val="18"/>
                                <w:szCs w:val="18"/>
                              </w:rPr>
                              <w:t xml:space="preserve">– </w:t>
                            </w:r>
                            <w:r>
                              <w:rPr>
                                <w:sz w:val="18"/>
                                <w:szCs w:val="18"/>
                              </w:rPr>
                              <w:t xml:space="preserve">Budget pressures remain on this scheme.  An officer working group has been established and a mitigation strategy </w:t>
                            </w:r>
                            <w:r w:rsidR="00DD1F54">
                              <w:rPr>
                                <w:sz w:val="18"/>
                                <w:szCs w:val="18"/>
                              </w:rPr>
                              <w:t xml:space="preserve">is </w:t>
                            </w:r>
                            <w:r>
                              <w:rPr>
                                <w:sz w:val="18"/>
                                <w:szCs w:val="18"/>
                              </w:rPr>
                              <w:t>being prepared.</w:t>
                            </w:r>
                          </w:p>
                          <w:p w:rsidR="00DD1F54" w:rsidP="00DD1F54">
                            <w:pPr>
                              <w:spacing w:after="0" w:line="240" w:lineRule="auto"/>
                              <w:rPr>
                                <w:sz w:val="18"/>
                                <w:szCs w:val="18"/>
                              </w:rPr>
                            </w:pPr>
                          </w:p>
                          <w:p w:rsidR="003E3473" w:rsidRPr="005B731C" w:rsidP="003E3473">
                            <w:pPr>
                              <w:rPr>
                                <w:sz w:val="20"/>
                                <w:szCs w:val="20"/>
                              </w:rPr>
                            </w:pPr>
                            <w:r w:rsidRPr="00C32ED5">
                              <w:rPr>
                                <w:b/>
                                <w:color w:val="FF0000"/>
                              </w:rPr>
                              <w:t>Lancaster Canal Towpath and Tom Benson Way</w:t>
                            </w:r>
                            <w:r w:rsidRPr="00C32ED5">
                              <w:rPr>
                                <w:color w:val="FF0000"/>
                                <w:sz w:val="18"/>
                                <w:szCs w:val="18"/>
                              </w:rPr>
                              <w:t xml:space="preserve">   </w:t>
                            </w:r>
                            <w:r w:rsidR="00376F1E">
                              <w:rPr>
                                <w:color w:val="FFC000" w:themeColor="accent4"/>
                                <w:sz w:val="18"/>
                                <w:szCs w:val="18"/>
                              </w:rPr>
                              <w:t xml:space="preserve">- </w:t>
                            </w:r>
                            <w:r w:rsidR="00DD1F54">
                              <w:rPr>
                                <w:sz w:val="18"/>
                                <w:szCs w:val="18"/>
                              </w:rPr>
                              <w:t>A</w:t>
                            </w:r>
                            <w:r w:rsidRPr="00E26E9F">
                              <w:rPr>
                                <w:sz w:val="18"/>
                                <w:szCs w:val="18"/>
                              </w:rPr>
                              <w:t xml:space="preserve"> concept design was </w:t>
                            </w:r>
                            <w:r w:rsidR="00FE7578">
                              <w:rPr>
                                <w:sz w:val="18"/>
                                <w:szCs w:val="18"/>
                              </w:rPr>
                              <w:t>anticipated</w:t>
                            </w:r>
                            <w:r w:rsidRPr="00E26E9F">
                              <w:rPr>
                                <w:sz w:val="18"/>
                                <w:szCs w:val="18"/>
                              </w:rPr>
                              <w:t xml:space="preserve"> by June 2018.  This has been delayed due to other priorities and resource</w:t>
                            </w:r>
                            <w:r w:rsidRPr="005B731C">
                              <w:rPr>
                                <w:sz w:val="20"/>
                                <w:szCs w:val="20"/>
                              </w:rPr>
                              <w:t xml:space="preserve"> issues</w:t>
                            </w:r>
                            <w:r>
                              <w:rPr>
                                <w:sz w:val="20"/>
                                <w:szCs w:val="20"/>
                              </w:rPr>
                              <w:t>. Some progress has been made and a design has been prepared</w:t>
                            </w:r>
                            <w:r w:rsidR="00C32ED5">
                              <w:rPr>
                                <w:sz w:val="20"/>
                                <w:szCs w:val="20"/>
                              </w:rPr>
                              <w:t xml:space="preserve"> to fit within budget but this does not fulfil the brief.  A design will be brought for IDSG for consideration in Q3.</w:t>
                            </w:r>
                          </w:p>
                          <w:p w:rsidR="00C32ED5" w:rsidP="00C32ED5">
                            <w:pPr>
                              <w:rPr>
                                <w:b/>
                                <w:color w:val="5B9BD5" w:themeColor="accent1"/>
                              </w:rPr>
                            </w:pPr>
                            <w:r w:rsidRPr="00C32ED5">
                              <w:rPr>
                                <w:rFonts w:cs="Arial"/>
                                <w:b/>
                                <w:color w:val="FF0000"/>
                              </w:rPr>
                              <w:t>Guild Wheel Bluebell Way</w:t>
                            </w:r>
                            <w:r w:rsidRPr="00C32ED5">
                              <w:rPr>
                                <w:rFonts w:cs="Arial"/>
                                <w:color w:val="FF0000"/>
                                <w:sz w:val="18"/>
                                <w:szCs w:val="18"/>
                              </w:rPr>
                              <w:t xml:space="preserve"> </w:t>
                            </w:r>
                            <w:r w:rsidRPr="00E26E9F">
                              <w:rPr>
                                <w:rFonts w:cs="Arial"/>
                                <w:sz w:val="18"/>
                                <w:szCs w:val="18"/>
                              </w:rPr>
                              <w:t>–</w:t>
                            </w:r>
                            <w:r>
                              <w:rPr>
                                <w:rFonts w:cs="Arial"/>
                                <w:sz w:val="18"/>
                                <w:szCs w:val="18"/>
                              </w:rPr>
                              <w:t xml:space="preserve">A design has been prepared to the budget available but this was felt to be </w:t>
                            </w:r>
                            <w:r w:rsidR="006C4269">
                              <w:rPr>
                                <w:rFonts w:cs="Arial"/>
                                <w:sz w:val="18"/>
                                <w:szCs w:val="18"/>
                              </w:rPr>
                              <w:t>insufficient</w:t>
                            </w:r>
                            <w:r>
                              <w:rPr>
                                <w:rFonts w:cs="Arial"/>
                                <w:sz w:val="18"/>
                                <w:szCs w:val="18"/>
                              </w:rPr>
                              <w:t>.  Additional funding could secure a much improved scheme.  Officers are exploring opportunities for additional funding to produce an enhanced scheme</w:t>
                            </w:r>
                            <w:r w:rsidRPr="00695022">
                              <w:rPr>
                                <w:rFonts w:cs="Arial"/>
                                <w:sz w:val="18"/>
                                <w:szCs w:val="18"/>
                              </w:rPr>
                              <w:t>.  Whilst on track at present this could present challenges for future milestones</w:t>
                            </w:r>
                            <w:r w:rsidRPr="00F11542">
                              <w:rPr>
                                <w:b/>
                                <w:color w:val="5B9BD5" w:themeColor="accent1"/>
                              </w:rPr>
                              <w:t xml:space="preserve"> </w:t>
                            </w:r>
                          </w:p>
                          <w:p w:rsidR="00DD1F54" w:rsidRPr="00DD1F54" w:rsidP="00DD1F54">
                            <w:pPr>
                              <w:spacing w:after="0" w:line="240" w:lineRule="auto"/>
                              <w:rPr>
                                <w:b/>
                                <w:color w:val="FFC000" w:themeColor="accent4"/>
                              </w:rPr>
                            </w:pPr>
                            <w:r w:rsidRPr="00DD1F54">
                              <w:rPr>
                                <w:b/>
                                <w:color w:val="FFC000" w:themeColor="accent4"/>
                              </w:rPr>
                              <w:t xml:space="preserve">Preston Western Distributor (PWD) and East West Link Road (EWLR) </w:t>
                            </w:r>
                          </w:p>
                          <w:p w:rsidR="00DD1F54" w:rsidP="00DD1F54">
                            <w:pPr>
                              <w:spacing w:after="0" w:line="240" w:lineRule="auto"/>
                              <w:rPr>
                                <w:sz w:val="18"/>
                                <w:szCs w:val="18"/>
                              </w:rPr>
                            </w:pPr>
                          </w:p>
                          <w:p w:rsidR="00DD1F54" w:rsidRPr="00DD1F54" w:rsidP="00DD1F54">
                            <w:pPr>
                              <w:spacing w:after="0" w:line="240" w:lineRule="auto"/>
                              <w:rPr>
                                <w:sz w:val="18"/>
                                <w:szCs w:val="18"/>
                              </w:rPr>
                            </w:pPr>
                            <w:r w:rsidRPr="00DD1F54">
                              <w:rPr>
                                <w:sz w:val="18"/>
                                <w:szCs w:val="18"/>
                              </w:rPr>
                              <w:t>Work is progressing in order to develop the detailed design that will in turn determine a more accurate cost for the scheme.  The scheme received planning permission in November with the s106 agreement signed and decision notice issued.  The CPO Inquiry proceedings have concluded with a substantial number of objections withdrawn. The scheme is on programme but typical for a scheme of this size and complexity, there are a number of risks that could impact on this deliverability.  These include:</w:t>
                            </w:r>
                          </w:p>
                          <w:p w:rsidR="00DD1F54" w:rsidRPr="00DD1F54" w:rsidP="00DD1F54">
                            <w:pPr>
                              <w:spacing w:after="0" w:line="240" w:lineRule="auto"/>
                              <w:rPr>
                                <w:sz w:val="18"/>
                                <w:szCs w:val="18"/>
                              </w:rPr>
                            </w:pPr>
                          </w:p>
                          <w:p w:rsidR="00DD1F54" w:rsidRPr="00DD1F54" w:rsidP="00DD1F54">
                            <w:pPr>
                              <w:pStyle w:val="ListParagraph"/>
                              <w:numPr>
                                <w:ilvl w:val="0"/>
                                <w:numId w:val="38"/>
                              </w:numPr>
                              <w:spacing w:after="0" w:line="240" w:lineRule="auto"/>
                              <w:rPr>
                                <w:sz w:val="18"/>
                                <w:szCs w:val="18"/>
                              </w:rPr>
                            </w:pPr>
                            <w:r w:rsidRPr="00DD1F54">
                              <w:rPr>
                                <w:sz w:val="18"/>
                                <w:szCs w:val="18"/>
                              </w:rPr>
                              <w:t>Secretary of State confirmation of the CPO</w:t>
                            </w:r>
                          </w:p>
                          <w:p w:rsidR="00DD1F54" w:rsidRPr="00DD1F54" w:rsidP="00DD1F54">
                            <w:pPr>
                              <w:pStyle w:val="ListParagraph"/>
                              <w:numPr>
                                <w:ilvl w:val="0"/>
                                <w:numId w:val="38"/>
                              </w:numPr>
                              <w:spacing w:after="0" w:line="240" w:lineRule="auto"/>
                              <w:rPr>
                                <w:sz w:val="18"/>
                                <w:szCs w:val="18"/>
                              </w:rPr>
                            </w:pPr>
                            <w:r w:rsidRPr="00DD1F54">
                              <w:rPr>
                                <w:sz w:val="18"/>
                                <w:szCs w:val="18"/>
                              </w:rPr>
                              <w:t>Threat of judicial review to the Planning Permission and CPO</w:t>
                            </w:r>
                          </w:p>
                          <w:p w:rsidR="00DD1F54" w:rsidRPr="00DD1F54" w:rsidP="00DD1F54">
                            <w:pPr>
                              <w:pStyle w:val="ListParagraph"/>
                              <w:numPr>
                                <w:ilvl w:val="0"/>
                                <w:numId w:val="38"/>
                              </w:numPr>
                              <w:spacing w:after="0" w:line="240" w:lineRule="auto"/>
                              <w:rPr>
                                <w:sz w:val="18"/>
                                <w:szCs w:val="18"/>
                              </w:rPr>
                            </w:pPr>
                            <w:r w:rsidRPr="00DD1F54">
                              <w:rPr>
                                <w:sz w:val="18"/>
                                <w:szCs w:val="18"/>
                              </w:rPr>
                              <w:t>Security of funding should there be programme delay</w:t>
                            </w:r>
                          </w:p>
                          <w:p w:rsidR="00DD1F54" w:rsidRPr="00DD1F54" w:rsidP="00DD1F54">
                            <w:pPr>
                              <w:pStyle w:val="ListParagraph"/>
                              <w:spacing w:after="0" w:line="240" w:lineRule="auto"/>
                              <w:rPr>
                                <w:sz w:val="18"/>
                                <w:szCs w:val="18"/>
                              </w:rPr>
                            </w:pPr>
                          </w:p>
                          <w:p w:rsidR="00DD1F54" w:rsidRPr="00DD1F54" w:rsidP="00DD1F54">
                            <w:pPr>
                              <w:spacing w:after="0" w:line="240" w:lineRule="auto"/>
                              <w:rPr>
                                <w:sz w:val="18"/>
                                <w:szCs w:val="18"/>
                              </w:rPr>
                            </w:pPr>
                            <w:r w:rsidRPr="00DD1F54">
                              <w:rPr>
                                <w:sz w:val="18"/>
                                <w:szCs w:val="18"/>
                              </w:rPr>
                              <w:t>Significant officer resource is required from legal, property, planning, finance and design in order to manage these risks and formulate actions in order to respond to them.  An officer working group covering all disciplines meets regularly to consider mitigation options to keep the scheme on track.</w:t>
                            </w:r>
                          </w:p>
                          <w:p w:rsidR="00DD1F54" w:rsidP="00DD1F54">
                            <w:pPr>
                              <w:spacing w:after="0" w:line="240" w:lineRule="auto"/>
                              <w:rPr>
                                <w:sz w:val="18"/>
                                <w:szCs w:val="18"/>
                              </w:rPr>
                            </w:pPr>
                          </w:p>
                          <w:p w:rsidR="00377C4A" w:rsidRPr="00F634C8" w:rsidP="00377C4A">
                            <w:pPr>
                              <w:rPr>
                                <w:rFonts w:cs="Arial"/>
                                <w:sz w:val="18"/>
                                <w:szCs w:val="18"/>
                              </w:rPr>
                            </w:pPr>
                            <w:r w:rsidRPr="00F11542">
                              <w:rPr>
                                <w:b/>
                                <w:color w:val="FFC000" w:themeColor="accent4"/>
                              </w:rPr>
                              <w:t>Guild Wheel Watery Lane</w:t>
                            </w:r>
                            <w:r w:rsidRPr="00F11542">
                              <w:rPr>
                                <w:color w:val="FFC000" w:themeColor="accent4"/>
                                <w:sz w:val="18"/>
                                <w:szCs w:val="18"/>
                              </w:rPr>
                              <w:t xml:space="preserve"> </w:t>
                            </w:r>
                            <w:r w:rsidRPr="00E26E9F">
                              <w:rPr>
                                <w:sz w:val="18"/>
                                <w:szCs w:val="18"/>
                              </w:rPr>
                              <w:t>–</w:t>
                            </w:r>
                            <w:r w:rsidRPr="00E26E9F">
                              <w:rPr>
                                <w:rFonts w:ascii="Arial" w:hAnsi="Arial" w:cs="Arial"/>
                                <w:color w:val="1F497D"/>
                                <w:sz w:val="18"/>
                                <w:szCs w:val="18"/>
                              </w:rPr>
                              <w:t xml:space="preserve"> </w:t>
                            </w:r>
                            <w:r>
                              <w:rPr>
                                <w:rFonts w:ascii="Arial" w:hAnsi="Arial" w:cs="Arial"/>
                                <w:color w:val="1F497D"/>
                                <w:sz w:val="18"/>
                                <w:szCs w:val="18"/>
                              </w:rPr>
                              <w:t xml:space="preserve">  </w:t>
                            </w:r>
                            <w:r w:rsidRPr="00F634C8">
                              <w:rPr>
                                <w:rFonts w:cs="Arial"/>
                                <w:sz w:val="18"/>
                                <w:szCs w:val="18"/>
                              </w:rPr>
                              <w:t>The award of the contract for this scheme was anticipated by the end of quarter 2 but has taken slightly longer than planned and slipped by a matter of weeks into Q3.  This has resulted in the likelihood of start on site pushed back into the New Year.  Overall it is anticipated that the scheme will still complete on schedule by the end of March 2019.</w:t>
                            </w:r>
                          </w:p>
                          <w:p w:rsidR="008E052B" w:rsidRPr="00461BB9" w:rsidP="00246D4F">
                            <w:pPr>
                              <w:spacing w:after="0" w:line="240" w:lineRule="auto"/>
                              <w:rPr>
                                <w:sz w:val="18"/>
                                <w:szCs w:val="18"/>
                              </w:rPr>
                            </w:pPr>
                            <w:r w:rsidRPr="00F11542">
                              <w:rPr>
                                <w:b/>
                                <w:color w:val="FFC000" w:themeColor="accent4"/>
                              </w:rPr>
                              <w:t>Cuerden</w:t>
                            </w:r>
                            <w:r w:rsidRPr="00F11542">
                              <w:rPr>
                                <w:b/>
                                <w:color w:val="FFC000" w:themeColor="accent4"/>
                              </w:rPr>
                              <w:t xml:space="preserve"> Strategic</w:t>
                            </w:r>
                            <w:r w:rsidRPr="00F11542" w:rsidR="00246D4F">
                              <w:rPr>
                                <w:b/>
                                <w:color w:val="FFC000" w:themeColor="accent4"/>
                              </w:rPr>
                              <w:t xml:space="preserve"> Site Road Infrastructure –</w:t>
                            </w:r>
                            <w:r w:rsidRPr="00F11542" w:rsidR="00246D4F">
                              <w:rPr>
                                <w:b/>
                                <w:color w:val="FFC000" w:themeColor="accent4"/>
                                <w:sz w:val="18"/>
                                <w:szCs w:val="18"/>
                              </w:rPr>
                              <w:t xml:space="preserve"> </w:t>
                            </w:r>
                            <w:r w:rsidRPr="00F11542" w:rsidR="007D7779">
                              <w:rPr>
                                <w:b/>
                                <w:color w:val="FFC000" w:themeColor="accent4"/>
                                <w:sz w:val="18"/>
                                <w:szCs w:val="18"/>
                              </w:rPr>
                              <w:t xml:space="preserve">  </w:t>
                            </w:r>
                            <w:r w:rsidRPr="00461BB9" w:rsidR="00D21295">
                              <w:rPr>
                                <w:sz w:val="18"/>
                                <w:szCs w:val="18"/>
                              </w:rPr>
                              <w:t>The project remains under review</w:t>
                            </w:r>
                            <w:r w:rsidR="00541F50">
                              <w:rPr>
                                <w:sz w:val="18"/>
                                <w:szCs w:val="18"/>
                              </w:rPr>
                              <w:t xml:space="preserve"> – in the last quarter</w:t>
                            </w:r>
                            <w:r w:rsidR="002774DF">
                              <w:rPr>
                                <w:sz w:val="18"/>
                                <w:szCs w:val="18"/>
                              </w:rPr>
                              <w:t>,</w:t>
                            </w:r>
                            <w:r w:rsidR="00541F50">
                              <w:rPr>
                                <w:sz w:val="18"/>
                                <w:szCs w:val="18"/>
                              </w:rPr>
                              <w:t xml:space="preserve"> activities have focussed on safeguarding the site in order to protect the investment to date</w:t>
                            </w:r>
                            <w:r w:rsidRPr="00461BB9" w:rsidR="00D21295">
                              <w:rPr>
                                <w:sz w:val="18"/>
                                <w:szCs w:val="18"/>
                              </w:rPr>
                              <w:t>.</w:t>
                            </w:r>
                          </w:p>
                          <w:p w:rsidR="00D21295" w:rsidRPr="00E26E9F" w:rsidP="00246D4F">
                            <w:pPr>
                              <w:spacing w:after="0" w:line="240" w:lineRule="auto"/>
                              <w:rPr>
                                <w:b/>
                                <w:color w:val="0099CC"/>
                                <w:sz w:val="18"/>
                                <w:szCs w:val="18"/>
                              </w:rPr>
                            </w:pPr>
                          </w:p>
                          <w:p w:rsidR="00461BB9" w:rsidP="00933EEE">
                            <w:pPr>
                              <w:rPr>
                                <w:rFonts w:cs="Arial"/>
                                <w:sz w:val="18"/>
                                <w:szCs w:val="18"/>
                              </w:rPr>
                            </w:pPr>
                            <w:r w:rsidRPr="00190ACD">
                              <w:rPr>
                                <w:rFonts w:cs="Arial"/>
                                <w:b/>
                                <w:color w:val="FFC000" w:themeColor="accent4"/>
                              </w:rPr>
                              <w:t>Fishergate</w:t>
                            </w:r>
                            <w:r w:rsidRPr="00190ACD">
                              <w:rPr>
                                <w:rFonts w:cs="Arial"/>
                                <w:b/>
                                <w:color w:val="FFC000" w:themeColor="accent4"/>
                              </w:rPr>
                              <w:t xml:space="preserve"> </w:t>
                            </w:r>
                            <w:r w:rsidRPr="00190ACD" w:rsidR="00FA3EBF">
                              <w:rPr>
                                <w:rFonts w:cs="Arial"/>
                                <w:b/>
                                <w:color w:val="FFC000" w:themeColor="accent4"/>
                              </w:rPr>
                              <w:t xml:space="preserve">Phase </w:t>
                            </w:r>
                            <w:r w:rsidRPr="00190ACD">
                              <w:rPr>
                                <w:rFonts w:cs="Arial"/>
                                <w:b/>
                                <w:color w:val="FFC000" w:themeColor="accent4"/>
                              </w:rPr>
                              <w:t xml:space="preserve">3 </w:t>
                            </w:r>
                            <w:r w:rsidRPr="00190ACD">
                              <w:rPr>
                                <w:rFonts w:cs="Arial"/>
                                <w:b/>
                                <w:color w:val="FFC000" w:themeColor="accent4"/>
                              </w:rPr>
                              <w:t>(including Western apron)</w:t>
                            </w:r>
                            <w:r w:rsidRPr="00190ACD" w:rsidR="00EA24EB">
                              <w:rPr>
                                <w:rFonts w:cs="Arial"/>
                                <w:color w:val="FFC000" w:themeColor="accent4"/>
                                <w:sz w:val="18"/>
                                <w:szCs w:val="18"/>
                              </w:rPr>
                              <w:t xml:space="preserve"> </w:t>
                            </w:r>
                            <w:r w:rsidRPr="00E26E9F">
                              <w:rPr>
                                <w:rFonts w:cs="Arial"/>
                                <w:color w:val="2E74B5" w:themeColor="accent1" w:themeShade="BF"/>
                                <w:sz w:val="18"/>
                                <w:szCs w:val="18"/>
                              </w:rPr>
                              <w:t>–</w:t>
                            </w:r>
                            <w:r w:rsidRPr="00E26E9F" w:rsidR="00E26E9F">
                              <w:rPr>
                                <w:rFonts w:cs="Arial"/>
                                <w:color w:val="FF0000"/>
                                <w:sz w:val="18"/>
                                <w:szCs w:val="18"/>
                              </w:rPr>
                              <w:t xml:space="preserve"> </w:t>
                            </w:r>
                            <w:r w:rsidR="00E26E9F">
                              <w:rPr>
                                <w:rFonts w:cs="Arial"/>
                                <w:color w:val="FF0000"/>
                                <w:sz w:val="18"/>
                                <w:szCs w:val="18"/>
                              </w:rPr>
                              <w:t xml:space="preserve"> </w:t>
                            </w:r>
                            <w:r w:rsidR="00541F50">
                              <w:rPr>
                                <w:rFonts w:cs="Arial"/>
                                <w:color w:val="FF0000"/>
                                <w:sz w:val="18"/>
                                <w:szCs w:val="18"/>
                              </w:rPr>
                              <w:t xml:space="preserve"> </w:t>
                            </w:r>
                            <w:r w:rsidR="001A0CBB">
                              <w:rPr>
                                <w:rFonts w:cs="Arial"/>
                                <w:sz w:val="18"/>
                                <w:szCs w:val="18"/>
                              </w:rPr>
                              <w:t>Approximately</w:t>
                            </w:r>
                            <w:r>
                              <w:rPr>
                                <w:rFonts w:cs="Arial"/>
                                <w:sz w:val="18"/>
                                <w:szCs w:val="18"/>
                              </w:rPr>
                              <w:t xml:space="preserve"> 50% of this scheme has completed to date.  Progress has been affected </w:t>
                            </w:r>
                            <w:r w:rsidR="00190ACD">
                              <w:rPr>
                                <w:rFonts w:cs="Arial"/>
                                <w:sz w:val="18"/>
                                <w:szCs w:val="18"/>
                              </w:rPr>
                              <w:t>as a result of</w:t>
                            </w:r>
                            <w:r>
                              <w:rPr>
                                <w:rFonts w:cs="Arial"/>
                                <w:sz w:val="18"/>
                                <w:szCs w:val="18"/>
                              </w:rPr>
                              <w:t xml:space="preserve"> uncertainty </w:t>
                            </w:r>
                            <w:r w:rsidR="00190ACD">
                              <w:rPr>
                                <w:rFonts w:cs="Arial"/>
                                <w:sz w:val="18"/>
                                <w:szCs w:val="18"/>
                              </w:rPr>
                              <w:t>around the</w:t>
                            </w:r>
                            <w:r>
                              <w:rPr>
                                <w:rFonts w:cs="Arial"/>
                                <w:sz w:val="18"/>
                                <w:szCs w:val="18"/>
                              </w:rPr>
                              <w:t xml:space="preserve"> Youth zone and the impact of this on the design of the western apron.  The cabinet decision </w:t>
                            </w:r>
                            <w:r w:rsidR="00EA24EB">
                              <w:rPr>
                                <w:rFonts w:cs="Arial"/>
                                <w:sz w:val="18"/>
                                <w:szCs w:val="18"/>
                              </w:rPr>
                              <w:t xml:space="preserve">in </w:t>
                            </w:r>
                            <w:r w:rsidR="007C04E5">
                              <w:rPr>
                                <w:rFonts w:cs="Arial"/>
                                <w:sz w:val="18"/>
                                <w:szCs w:val="18"/>
                              </w:rPr>
                              <w:t xml:space="preserve">August </w:t>
                            </w:r>
                            <w:r>
                              <w:rPr>
                                <w:rFonts w:cs="Arial"/>
                                <w:sz w:val="18"/>
                                <w:szCs w:val="18"/>
                              </w:rPr>
                              <w:t xml:space="preserve">not to progress with the Youth Zone has allowed the design of the western apron to be developed and </w:t>
                            </w:r>
                            <w:r w:rsidR="001A0CBB">
                              <w:rPr>
                                <w:rFonts w:cs="Arial"/>
                                <w:sz w:val="18"/>
                                <w:szCs w:val="18"/>
                              </w:rPr>
                              <w:t>will be finalised</w:t>
                            </w:r>
                            <w:r>
                              <w:rPr>
                                <w:rFonts w:cs="Arial"/>
                                <w:sz w:val="18"/>
                                <w:szCs w:val="18"/>
                              </w:rPr>
                              <w:t xml:space="preserve"> by the end of October.  An indicative budget and programme will follow.  </w:t>
                            </w:r>
                            <w:r w:rsidR="007C04E5">
                              <w:rPr>
                                <w:rFonts w:cs="Arial"/>
                                <w:sz w:val="18"/>
                                <w:szCs w:val="18"/>
                              </w:rPr>
                              <w:t xml:space="preserve">Design changes mean that the scheme will be </w:t>
                            </w:r>
                            <w:r>
                              <w:rPr>
                                <w:rFonts w:cs="Arial"/>
                                <w:sz w:val="18"/>
                                <w:szCs w:val="18"/>
                              </w:rPr>
                              <w:t xml:space="preserve"> required to go back to planning (anticipated in Q4 Jan-Mar 2019) with start on site anticipated in Q1 year 6 (April 2019).  The build is expected to take approximately 50 weeks.</w:t>
                            </w:r>
                          </w:p>
                          <w:p w:rsidR="00F11542" w:rsidRPr="0027397B" w:rsidP="00F11542">
                            <w:pPr>
                              <w:rPr>
                                <w:b/>
                                <w:color w:val="5B9BD5" w:themeColor="accent1"/>
                              </w:rPr>
                            </w:pPr>
                            <w:r w:rsidRPr="003E3473">
                              <w:rPr>
                                <w:b/>
                                <w:color w:val="FFC000" w:themeColor="accent4"/>
                              </w:rPr>
                              <w:t>New Hall Lane Local Centre</w:t>
                            </w:r>
                            <w:r w:rsidRPr="00A20199">
                              <w:rPr>
                                <w:color w:val="5B9BD5" w:themeColor="accent1"/>
                                <w:sz w:val="18"/>
                                <w:szCs w:val="18"/>
                              </w:rPr>
                              <w:t xml:space="preserve"> </w:t>
                            </w:r>
                            <w:r w:rsidRPr="00E26E9F">
                              <w:rPr>
                                <w:sz w:val="18"/>
                                <w:szCs w:val="18"/>
                              </w:rPr>
                              <w:t>–</w:t>
                            </w:r>
                            <w:r>
                              <w:rPr>
                                <w:sz w:val="18"/>
                                <w:szCs w:val="18"/>
                              </w:rPr>
                              <w:t xml:space="preserve"> As reported last quarter</w:t>
                            </w:r>
                            <w:r w:rsidR="002774DF">
                              <w:rPr>
                                <w:sz w:val="18"/>
                                <w:szCs w:val="18"/>
                              </w:rPr>
                              <w:t>,</w:t>
                            </w:r>
                            <w:r>
                              <w:rPr>
                                <w:sz w:val="18"/>
                                <w:szCs w:val="18"/>
                              </w:rPr>
                              <w:t xml:space="preserve"> extreme temperatures have resulted in delays to surfacing.  This has resulted in the </w:t>
                            </w:r>
                            <w:r w:rsidR="00376F1E">
                              <w:rPr>
                                <w:sz w:val="18"/>
                                <w:szCs w:val="18"/>
                              </w:rPr>
                              <w:t>final stage of road resurfacing needing to be delayed until</w:t>
                            </w:r>
                            <w:r>
                              <w:rPr>
                                <w:sz w:val="18"/>
                                <w:szCs w:val="18"/>
                              </w:rPr>
                              <w:t xml:space="preserve"> the spring.</w:t>
                            </w:r>
                            <w:r w:rsidRPr="00F11542">
                              <w:rPr>
                                <w:b/>
                                <w:color w:val="5B9BD5" w:themeColor="accent1"/>
                              </w:rPr>
                              <w:t xml:space="preserve"> </w:t>
                            </w:r>
                          </w:p>
                          <w:p w:rsidR="00377C4A" w:rsidRPr="00E26E9F" w:rsidP="00377C4A">
                            <w:pPr>
                              <w:rPr>
                                <w:sz w:val="18"/>
                                <w:szCs w:val="18"/>
                              </w:rPr>
                            </w:pPr>
                            <w:r w:rsidRPr="00500504">
                              <w:rPr>
                                <w:b/>
                                <w:color w:val="FFC000" w:themeColor="accent4"/>
                              </w:rPr>
                              <w:t>Bamber Bridge – Town Centre Improvements</w:t>
                            </w:r>
                            <w:r w:rsidRPr="00500504">
                              <w:rPr>
                                <w:color w:val="FFC000" w:themeColor="accent4"/>
                                <w:sz w:val="18"/>
                                <w:szCs w:val="18"/>
                              </w:rPr>
                              <w:t xml:space="preserve"> </w:t>
                            </w:r>
                            <w:r w:rsidRPr="003E3473">
                              <w:rPr>
                                <w:color w:val="FFC000" w:themeColor="accent4"/>
                                <w:sz w:val="18"/>
                                <w:szCs w:val="18"/>
                              </w:rPr>
                              <w:t xml:space="preserve">– </w:t>
                            </w:r>
                            <w:r>
                              <w:rPr>
                                <w:sz w:val="18"/>
                                <w:szCs w:val="18"/>
                              </w:rPr>
                              <w:t xml:space="preserve">This </w:t>
                            </w:r>
                            <w:r w:rsidR="004D277C">
                              <w:rPr>
                                <w:sz w:val="18"/>
                                <w:szCs w:val="18"/>
                              </w:rPr>
                              <w:t xml:space="preserve">majority of the </w:t>
                            </w:r>
                            <w:r w:rsidR="003B12FD">
                              <w:rPr>
                                <w:sz w:val="18"/>
                                <w:szCs w:val="18"/>
                              </w:rPr>
                              <w:t>scheme (</w:t>
                            </w:r>
                            <w:r w:rsidR="004D277C">
                              <w:rPr>
                                <w:sz w:val="18"/>
                                <w:szCs w:val="18"/>
                              </w:rPr>
                              <w:t xml:space="preserve">footways) </w:t>
                            </w:r>
                            <w:r>
                              <w:rPr>
                                <w:sz w:val="18"/>
                                <w:szCs w:val="18"/>
                              </w:rPr>
                              <w:t xml:space="preserve">will complete </w:t>
                            </w:r>
                            <w:r w:rsidR="002774DF">
                              <w:rPr>
                                <w:sz w:val="18"/>
                                <w:szCs w:val="18"/>
                              </w:rPr>
                              <w:t>in Q3 which is slighter later than expected due</w:t>
                            </w:r>
                            <w:r>
                              <w:rPr>
                                <w:sz w:val="18"/>
                                <w:szCs w:val="18"/>
                              </w:rPr>
                              <w:t xml:space="preserve"> to the complexities of working on a live highway and carriageway.  The final road resurfacing element included in the scheme has now had to be delayed until the spring when weather conditions are more suitable.</w:t>
                            </w:r>
                          </w:p>
                          <w:p w:rsidR="003332D6" w:rsidRPr="00286A8C" w:rsidP="003332D6">
                            <w:pPr>
                              <w:rPr>
                                <w:color w:val="FF0000"/>
                                <w:sz w:val="18"/>
                                <w:szCs w:val="18"/>
                              </w:rPr>
                            </w:pPr>
                          </w:p>
                          <w:p w:rsidR="00246D4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9" o:spid="_x0000_s1026" type="#_x0000_t202" style="width:327.45pt;height:779.55pt;margin-top:-9.45pt;margin-left:446.7pt;mso-height-percent:0;mso-height-relative:margin;mso-width-percent:0;mso-width-relative:margin;mso-wrap-distance-bottom:0;mso-wrap-distance-left:9pt;mso-wrap-distance-right:9pt;mso-wrap-distance-top:0;mso-wrap-style:square;position:absolute;visibility:visible;v-text-anchor:top;z-index:251668480" fillcolor="white" strokeweight="0.5pt">
                <v:textbox>
                  <w:txbxContent>
                    <w:p w:rsidR="00921EC7" w:rsidP="00DD1F54">
                      <w:pPr>
                        <w:spacing w:after="0" w:line="240" w:lineRule="auto"/>
                        <w:rPr>
                          <w:sz w:val="18"/>
                          <w:szCs w:val="18"/>
                        </w:rPr>
                      </w:pPr>
                      <w:r w:rsidRPr="00461BB9">
                        <w:rPr>
                          <w:sz w:val="18"/>
                          <w:szCs w:val="18"/>
                        </w:rPr>
                        <w:t xml:space="preserve">  </w:t>
                      </w:r>
                      <w:r w:rsidRPr="00190ACD">
                        <w:rPr>
                          <w:rFonts w:cs="Arial"/>
                          <w:b/>
                          <w:color w:val="FF0000"/>
                        </w:rPr>
                        <w:t>A</w:t>
                      </w:r>
                      <w:r w:rsidRPr="00190ACD">
                        <w:rPr>
                          <w:b/>
                          <w:color w:val="FF0000"/>
                        </w:rPr>
                        <w:t xml:space="preserve">582 </w:t>
                      </w:r>
                      <w:r w:rsidRPr="00190ACD">
                        <w:rPr>
                          <w:b/>
                          <w:color w:val="FF0000"/>
                        </w:rPr>
                        <w:t>Dualling</w:t>
                      </w:r>
                      <w:r w:rsidRPr="00190ACD">
                        <w:rPr>
                          <w:b/>
                          <w:color w:val="FF0000"/>
                          <w:sz w:val="18"/>
                          <w:szCs w:val="18"/>
                        </w:rPr>
                        <w:t xml:space="preserve"> </w:t>
                      </w:r>
                      <w:r w:rsidRPr="00E26E9F">
                        <w:rPr>
                          <w:b/>
                          <w:sz w:val="18"/>
                          <w:szCs w:val="18"/>
                        </w:rPr>
                        <w:t xml:space="preserve">– </w:t>
                      </w:r>
                      <w:r>
                        <w:rPr>
                          <w:sz w:val="18"/>
                          <w:szCs w:val="18"/>
                        </w:rPr>
                        <w:t xml:space="preserve">Budget pressures remain on this scheme.  An officer working group has been established and a mitigation strategy </w:t>
                      </w:r>
                      <w:r w:rsidR="00DD1F54">
                        <w:rPr>
                          <w:sz w:val="18"/>
                          <w:szCs w:val="18"/>
                        </w:rPr>
                        <w:t xml:space="preserve">is </w:t>
                      </w:r>
                      <w:r>
                        <w:rPr>
                          <w:sz w:val="18"/>
                          <w:szCs w:val="18"/>
                        </w:rPr>
                        <w:t>being prepared.</w:t>
                      </w:r>
                    </w:p>
                    <w:p w:rsidR="00DD1F54" w:rsidP="00DD1F54">
                      <w:pPr>
                        <w:spacing w:after="0" w:line="240" w:lineRule="auto"/>
                        <w:rPr>
                          <w:sz w:val="18"/>
                          <w:szCs w:val="18"/>
                        </w:rPr>
                      </w:pPr>
                    </w:p>
                    <w:p w:rsidR="003E3473" w:rsidRPr="005B731C" w:rsidP="003E3473">
                      <w:pPr>
                        <w:rPr>
                          <w:sz w:val="20"/>
                          <w:szCs w:val="20"/>
                        </w:rPr>
                      </w:pPr>
                      <w:r w:rsidRPr="00C32ED5">
                        <w:rPr>
                          <w:b/>
                          <w:color w:val="FF0000"/>
                        </w:rPr>
                        <w:t>Lancaster Canal Towpath and Tom Benson Way</w:t>
                      </w:r>
                      <w:r w:rsidRPr="00C32ED5">
                        <w:rPr>
                          <w:color w:val="FF0000"/>
                          <w:sz w:val="18"/>
                          <w:szCs w:val="18"/>
                        </w:rPr>
                        <w:t xml:space="preserve">   </w:t>
                      </w:r>
                      <w:r w:rsidR="00376F1E">
                        <w:rPr>
                          <w:color w:val="FFC000" w:themeColor="accent4"/>
                          <w:sz w:val="18"/>
                          <w:szCs w:val="18"/>
                        </w:rPr>
                        <w:t xml:space="preserve">- </w:t>
                      </w:r>
                      <w:r w:rsidR="00DD1F54">
                        <w:rPr>
                          <w:sz w:val="18"/>
                          <w:szCs w:val="18"/>
                        </w:rPr>
                        <w:t>A</w:t>
                      </w:r>
                      <w:r w:rsidRPr="00E26E9F">
                        <w:rPr>
                          <w:sz w:val="18"/>
                          <w:szCs w:val="18"/>
                        </w:rPr>
                        <w:t xml:space="preserve"> concept design was </w:t>
                      </w:r>
                      <w:r w:rsidR="00FE7578">
                        <w:rPr>
                          <w:sz w:val="18"/>
                          <w:szCs w:val="18"/>
                        </w:rPr>
                        <w:t>anticipated</w:t>
                      </w:r>
                      <w:r w:rsidRPr="00E26E9F">
                        <w:rPr>
                          <w:sz w:val="18"/>
                          <w:szCs w:val="18"/>
                        </w:rPr>
                        <w:t xml:space="preserve"> by June 2018.  This has been delayed due to other priorities and resource</w:t>
                      </w:r>
                      <w:r w:rsidRPr="005B731C">
                        <w:rPr>
                          <w:sz w:val="20"/>
                          <w:szCs w:val="20"/>
                        </w:rPr>
                        <w:t xml:space="preserve"> issues</w:t>
                      </w:r>
                      <w:r>
                        <w:rPr>
                          <w:sz w:val="20"/>
                          <w:szCs w:val="20"/>
                        </w:rPr>
                        <w:t>. Some progress has been made and a design has been prepared</w:t>
                      </w:r>
                      <w:r w:rsidR="00C32ED5">
                        <w:rPr>
                          <w:sz w:val="20"/>
                          <w:szCs w:val="20"/>
                        </w:rPr>
                        <w:t xml:space="preserve"> to fit within budget but this does not fulfil the brief.  A design will be brought for IDSG for consideration in Q3.</w:t>
                      </w:r>
                    </w:p>
                    <w:p w:rsidR="00C32ED5" w:rsidP="00C32ED5">
                      <w:pPr>
                        <w:rPr>
                          <w:b/>
                          <w:color w:val="5B9BD5" w:themeColor="accent1"/>
                        </w:rPr>
                      </w:pPr>
                      <w:r w:rsidRPr="00C32ED5">
                        <w:rPr>
                          <w:rFonts w:cs="Arial"/>
                          <w:b/>
                          <w:color w:val="FF0000"/>
                        </w:rPr>
                        <w:t>Guild Wheel Bluebell Way</w:t>
                      </w:r>
                      <w:r w:rsidRPr="00C32ED5">
                        <w:rPr>
                          <w:rFonts w:cs="Arial"/>
                          <w:color w:val="FF0000"/>
                          <w:sz w:val="18"/>
                          <w:szCs w:val="18"/>
                        </w:rPr>
                        <w:t xml:space="preserve"> </w:t>
                      </w:r>
                      <w:r w:rsidRPr="00E26E9F">
                        <w:rPr>
                          <w:rFonts w:cs="Arial"/>
                          <w:sz w:val="18"/>
                          <w:szCs w:val="18"/>
                        </w:rPr>
                        <w:t>–</w:t>
                      </w:r>
                      <w:r>
                        <w:rPr>
                          <w:rFonts w:cs="Arial"/>
                          <w:sz w:val="18"/>
                          <w:szCs w:val="18"/>
                        </w:rPr>
                        <w:t xml:space="preserve">A design has been prepared to the budget available but this was felt to be </w:t>
                      </w:r>
                      <w:r w:rsidR="006C4269">
                        <w:rPr>
                          <w:rFonts w:cs="Arial"/>
                          <w:sz w:val="18"/>
                          <w:szCs w:val="18"/>
                        </w:rPr>
                        <w:t>insufficient</w:t>
                      </w:r>
                      <w:r>
                        <w:rPr>
                          <w:rFonts w:cs="Arial"/>
                          <w:sz w:val="18"/>
                          <w:szCs w:val="18"/>
                        </w:rPr>
                        <w:t>.  Additional funding could secure a much improved scheme.  Officers are exploring opportunities for additional funding to produce an enhanced scheme</w:t>
                      </w:r>
                      <w:r w:rsidRPr="00695022">
                        <w:rPr>
                          <w:rFonts w:cs="Arial"/>
                          <w:sz w:val="18"/>
                          <w:szCs w:val="18"/>
                        </w:rPr>
                        <w:t>.  Whilst on track at present this could present challenges for future milestones</w:t>
                      </w:r>
                      <w:r w:rsidRPr="00F11542">
                        <w:rPr>
                          <w:b/>
                          <w:color w:val="5B9BD5" w:themeColor="accent1"/>
                        </w:rPr>
                        <w:t xml:space="preserve"> </w:t>
                      </w:r>
                    </w:p>
                    <w:p w:rsidR="00DD1F54" w:rsidRPr="00DD1F54" w:rsidP="00DD1F54">
                      <w:pPr>
                        <w:spacing w:after="0" w:line="240" w:lineRule="auto"/>
                        <w:rPr>
                          <w:b/>
                          <w:color w:val="FFC000" w:themeColor="accent4"/>
                        </w:rPr>
                      </w:pPr>
                      <w:r w:rsidRPr="00DD1F54">
                        <w:rPr>
                          <w:b/>
                          <w:color w:val="FFC000" w:themeColor="accent4"/>
                        </w:rPr>
                        <w:t xml:space="preserve">Preston Western Distributor (PWD) and East West Link Road (EWLR) </w:t>
                      </w:r>
                    </w:p>
                    <w:p w:rsidR="00DD1F54" w:rsidP="00DD1F54">
                      <w:pPr>
                        <w:spacing w:after="0" w:line="240" w:lineRule="auto"/>
                        <w:rPr>
                          <w:sz w:val="18"/>
                          <w:szCs w:val="18"/>
                        </w:rPr>
                      </w:pPr>
                    </w:p>
                    <w:p w:rsidR="00DD1F54" w:rsidRPr="00DD1F54" w:rsidP="00DD1F54">
                      <w:pPr>
                        <w:spacing w:after="0" w:line="240" w:lineRule="auto"/>
                        <w:rPr>
                          <w:sz w:val="18"/>
                          <w:szCs w:val="18"/>
                        </w:rPr>
                      </w:pPr>
                      <w:r w:rsidRPr="00DD1F54">
                        <w:rPr>
                          <w:sz w:val="18"/>
                          <w:szCs w:val="18"/>
                        </w:rPr>
                        <w:t>Work is progressing in order to develop the detailed design that will in turn determine a more accurate cost for the scheme.  The scheme received planning permission in November with the s106 agreement signed and decision notice issued.  The CPO Inquiry proceedings have concluded with a substantial number of objections withdrawn. The scheme is on programme but typical for a scheme of this size and complexity, there are a number of risks that could impact on this deliverability.  These include:</w:t>
                      </w:r>
                    </w:p>
                    <w:p w:rsidR="00DD1F54" w:rsidRPr="00DD1F54" w:rsidP="00DD1F54">
                      <w:pPr>
                        <w:spacing w:after="0" w:line="240" w:lineRule="auto"/>
                        <w:rPr>
                          <w:sz w:val="18"/>
                          <w:szCs w:val="18"/>
                        </w:rPr>
                      </w:pPr>
                    </w:p>
                    <w:p w:rsidR="00DD1F54" w:rsidRPr="00DD1F54" w:rsidP="00DD1F54">
                      <w:pPr>
                        <w:pStyle w:val="ListParagraph"/>
                        <w:numPr>
                          <w:ilvl w:val="0"/>
                          <w:numId w:val="38"/>
                        </w:numPr>
                        <w:spacing w:after="0" w:line="240" w:lineRule="auto"/>
                        <w:rPr>
                          <w:sz w:val="18"/>
                          <w:szCs w:val="18"/>
                        </w:rPr>
                      </w:pPr>
                      <w:r w:rsidRPr="00DD1F54">
                        <w:rPr>
                          <w:sz w:val="18"/>
                          <w:szCs w:val="18"/>
                        </w:rPr>
                        <w:t>Secretary of State confirmation of the CPO</w:t>
                      </w:r>
                    </w:p>
                    <w:p w:rsidR="00DD1F54" w:rsidRPr="00DD1F54" w:rsidP="00DD1F54">
                      <w:pPr>
                        <w:pStyle w:val="ListParagraph"/>
                        <w:numPr>
                          <w:ilvl w:val="0"/>
                          <w:numId w:val="38"/>
                        </w:numPr>
                        <w:spacing w:after="0" w:line="240" w:lineRule="auto"/>
                        <w:rPr>
                          <w:sz w:val="18"/>
                          <w:szCs w:val="18"/>
                        </w:rPr>
                      </w:pPr>
                      <w:r w:rsidRPr="00DD1F54">
                        <w:rPr>
                          <w:sz w:val="18"/>
                          <w:szCs w:val="18"/>
                        </w:rPr>
                        <w:t>Threat of judicial review to the Planning Permission and CPO</w:t>
                      </w:r>
                    </w:p>
                    <w:p w:rsidR="00DD1F54" w:rsidRPr="00DD1F54" w:rsidP="00DD1F54">
                      <w:pPr>
                        <w:pStyle w:val="ListParagraph"/>
                        <w:numPr>
                          <w:ilvl w:val="0"/>
                          <w:numId w:val="38"/>
                        </w:numPr>
                        <w:spacing w:after="0" w:line="240" w:lineRule="auto"/>
                        <w:rPr>
                          <w:sz w:val="18"/>
                          <w:szCs w:val="18"/>
                        </w:rPr>
                      </w:pPr>
                      <w:r w:rsidRPr="00DD1F54">
                        <w:rPr>
                          <w:sz w:val="18"/>
                          <w:szCs w:val="18"/>
                        </w:rPr>
                        <w:t>Security of funding should there be programme delay</w:t>
                      </w:r>
                    </w:p>
                    <w:p w:rsidR="00DD1F54" w:rsidRPr="00DD1F54" w:rsidP="00DD1F54">
                      <w:pPr>
                        <w:pStyle w:val="ListParagraph"/>
                        <w:spacing w:after="0" w:line="240" w:lineRule="auto"/>
                        <w:rPr>
                          <w:sz w:val="18"/>
                          <w:szCs w:val="18"/>
                        </w:rPr>
                      </w:pPr>
                    </w:p>
                    <w:p w:rsidR="00DD1F54" w:rsidRPr="00DD1F54" w:rsidP="00DD1F54">
                      <w:pPr>
                        <w:spacing w:after="0" w:line="240" w:lineRule="auto"/>
                        <w:rPr>
                          <w:sz w:val="18"/>
                          <w:szCs w:val="18"/>
                        </w:rPr>
                      </w:pPr>
                      <w:r w:rsidRPr="00DD1F54">
                        <w:rPr>
                          <w:sz w:val="18"/>
                          <w:szCs w:val="18"/>
                        </w:rPr>
                        <w:t>Significant officer resource is required from legal, property, planning, finance and design in order to manage these risks and formulate actions in order to respond to them.  An officer working group covering all disciplines meets regularly to consider mitigation options to keep the scheme on track.</w:t>
                      </w:r>
                    </w:p>
                    <w:p w:rsidR="00DD1F54" w:rsidP="00DD1F54">
                      <w:pPr>
                        <w:spacing w:after="0" w:line="240" w:lineRule="auto"/>
                        <w:rPr>
                          <w:sz w:val="18"/>
                          <w:szCs w:val="18"/>
                        </w:rPr>
                      </w:pPr>
                    </w:p>
                    <w:p w:rsidR="00377C4A" w:rsidRPr="00F634C8" w:rsidP="00377C4A">
                      <w:pPr>
                        <w:rPr>
                          <w:rFonts w:cs="Arial"/>
                          <w:sz w:val="18"/>
                          <w:szCs w:val="18"/>
                        </w:rPr>
                      </w:pPr>
                      <w:r w:rsidRPr="00F11542">
                        <w:rPr>
                          <w:b/>
                          <w:color w:val="FFC000" w:themeColor="accent4"/>
                        </w:rPr>
                        <w:t>Guild Wheel Watery Lane</w:t>
                      </w:r>
                      <w:r w:rsidRPr="00F11542">
                        <w:rPr>
                          <w:color w:val="FFC000" w:themeColor="accent4"/>
                          <w:sz w:val="18"/>
                          <w:szCs w:val="18"/>
                        </w:rPr>
                        <w:t xml:space="preserve"> </w:t>
                      </w:r>
                      <w:r w:rsidRPr="00E26E9F">
                        <w:rPr>
                          <w:sz w:val="18"/>
                          <w:szCs w:val="18"/>
                        </w:rPr>
                        <w:t>–</w:t>
                      </w:r>
                      <w:r w:rsidRPr="00E26E9F">
                        <w:rPr>
                          <w:rFonts w:ascii="Arial" w:hAnsi="Arial" w:cs="Arial"/>
                          <w:color w:val="1F497D"/>
                          <w:sz w:val="18"/>
                          <w:szCs w:val="18"/>
                        </w:rPr>
                        <w:t xml:space="preserve"> </w:t>
                      </w:r>
                      <w:r>
                        <w:rPr>
                          <w:rFonts w:ascii="Arial" w:hAnsi="Arial" w:cs="Arial"/>
                          <w:color w:val="1F497D"/>
                          <w:sz w:val="18"/>
                          <w:szCs w:val="18"/>
                        </w:rPr>
                        <w:t xml:space="preserve">  </w:t>
                      </w:r>
                      <w:r w:rsidRPr="00F634C8">
                        <w:rPr>
                          <w:rFonts w:cs="Arial"/>
                          <w:sz w:val="18"/>
                          <w:szCs w:val="18"/>
                        </w:rPr>
                        <w:t>The award of the contract for this scheme was anticipated by the end of quarter 2 but has taken slightly longer than planned and slipped by a matter of weeks into Q3.  This has resulted in the likelihood of start on site pushed back into the New Year.  Overall it is anticipated that the scheme will still complete on schedule by the end of March 2019.</w:t>
                      </w:r>
                    </w:p>
                    <w:p w:rsidR="008E052B" w:rsidRPr="00461BB9" w:rsidP="00246D4F">
                      <w:pPr>
                        <w:spacing w:after="0" w:line="240" w:lineRule="auto"/>
                        <w:rPr>
                          <w:sz w:val="18"/>
                          <w:szCs w:val="18"/>
                        </w:rPr>
                      </w:pPr>
                      <w:r w:rsidRPr="00F11542">
                        <w:rPr>
                          <w:b/>
                          <w:color w:val="FFC000" w:themeColor="accent4"/>
                        </w:rPr>
                        <w:t>Cuerden</w:t>
                      </w:r>
                      <w:r w:rsidRPr="00F11542">
                        <w:rPr>
                          <w:b/>
                          <w:color w:val="FFC000" w:themeColor="accent4"/>
                        </w:rPr>
                        <w:t xml:space="preserve"> Strategic</w:t>
                      </w:r>
                      <w:r w:rsidRPr="00F11542" w:rsidR="00246D4F">
                        <w:rPr>
                          <w:b/>
                          <w:color w:val="FFC000" w:themeColor="accent4"/>
                        </w:rPr>
                        <w:t xml:space="preserve"> Site Road Infrastructure –</w:t>
                      </w:r>
                      <w:r w:rsidRPr="00F11542" w:rsidR="00246D4F">
                        <w:rPr>
                          <w:b/>
                          <w:color w:val="FFC000" w:themeColor="accent4"/>
                          <w:sz w:val="18"/>
                          <w:szCs w:val="18"/>
                        </w:rPr>
                        <w:t xml:space="preserve"> </w:t>
                      </w:r>
                      <w:r w:rsidRPr="00F11542" w:rsidR="007D7779">
                        <w:rPr>
                          <w:b/>
                          <w:color w:val="FFC000" w:themeColor="accent4"/>
                          <w:sz w:val="18"/>
                          <w:szCs w:val="18"/>
                        </w:rPr>
                        <w:t xml:space="preserve">  </w:t>
                      </w:r>
                      <w:r w:rsidRPr="00461BB9" w:rsidR="00D21295">
                        <w:rPr>
                          <w:sz w:val="18"/>
                          <w:szCs w:val="18"/>
                        </w:rPr>
                        <w:t>The project remains under review</w:t>
                      </w:r>
                      <w:r w:rsidR="00541F50">
                        <w:rPr>
                          <w:sz w:val="18"/>
                          <w:szCs w:val="18"/>
                        </w:rPr>
                        <w:t xml:space="preserve"> – in the last quarter</w:t>
                      </w:r>
                      <w:r w:rsidR="002774DF">
                        <w:rPr>
                          <w:sz w:val="18"/>
                          <w:szCs w:val="18"/>
                        </w:rPr>
                        <w:t>,</w:t>
                      </w:r>
                      <w:r w:rsidR="00541F50">
                        <w:rPr>
                          <w:sz w:val="18"/>
                          <w:szCs w:val="18"/>
                        </w:rPr>
                        <w:t xml:space="preserve"> activities have focussed on safeguarding the site in order to protect the investment to date</w:t>
                      </w:r>
                      <w:r w:rsidRPr="00461BB9" w:rsidR="00D21295">
                        <w:rPr>
                          <w:sz w:val="18"/>
                          <w:szCs w:val="18"/>
                        </w:rPr>
                        <w:t>.</w:t>
                      </w:r>
                    </w:p>
                    <w:p w:rsidR="00D21295" w:rsidRPr="00E26E9F" w:rsidP="00246D4F">
                      <w:pPr>
                        <w:spacing w:after="0" w:line="240" w:lineRule="auto"/>
                        <w:rPr>
                          <w:b/>
                          <w:color w:val="0099CC"/>
                          <w:sz w:val="18"/>
                          <w:szCs w:val="18"/>
                        </w:rPr>
                      </w:pPr>
                    </w:p>
                    <w:p w:rsidR="00461BB9" w:rsidP="00933EEE">
                      <w:pPr>
                        <w:rPr>
                          <w:rFonts w:cs="Arial"/>
                          <w:sz w:val="18"/>
                          <w:szCs w:val="18"/>
                        </w:rPr>
                      </w:pPr>
                      <w:r w:rsidRPr="00190ACD">
                        <w:rPr>
                          <w:rFonts w:cs="Arial"/>
                          <w:b/>
                          <w:color w:val="FFC000" w:themeColor="accent4"/>
                        </w:rPr>
                        <w:t>Fishergate</w:t>
                      </w:r>
                      <w:r w:rsidRPr="00190ACD">
                        <w:rPr>
                          <w:rFonts w:cs="Arial"/>
                          <w:b/>
                          <w:color w:val="FFC000" w:themeColor="accent4"/>
                        </w:rPr>
                        <w:t xml:space="preserve"> </w:t>
                      </w:r>
                      <w:r w:rsidRPr="00190ACD" w:rsidR="00FA3EBF">
                        <w:rPr>
                          <w:rFonts w:cs="Arial"/>
                          <w:b/>
                          <w:color w:val="FFC000" w:themeColor="accent4"/>
                        </w:rPr>
                        <w:t xml:space="preserve">Phase </w:t>
                      </w:r>
                      <w:r w:rsidRPr="00190ACD">
                        <w:rPr>
                          <w:rFonts w:cs="Arial"/>
                          <w:b/>
                          <w:color w:val="FFC000" w:themeColor="accent4"/>
                        </w:rPr>
                        <w:t xml:space="preserve">3 </w:t>
                      </w:r>
                      <w:r w:rsidRPr="00190ACD">
                        <w:rPr>
                          <w:rFonts w:cs="Arial"/>
                          <w:b/>
                          <w:color w:val="FFC000" w:themeColor="accent4"/>
                        </w:rPr>
                        <w:t>(including Western apron)</w:t>
                      </w:r>
                      <w:r w:rsidRPr="00190ACD" w:rsidR="00EA24EB">
                        <w:rPr>
                          <w:rFonts w:cs="Arial"/>
                          <w:color w:val="FFC000" w:themeColor="accent4"/>
                          <w:sz w:val="18"/>
                          <w:szCs w:val="18"/>
                        </w:rPr>
                        <w:t xml:space="preserve"> </w:t>
                      </w:r>
                      <w:r w:rsidRPr="00E26E9F">
                        <w:rPr>
                          <w:rFonts w:cs="Arial"/>
                          <w:color w:val="2E74B5" w:themeColor="accent1" w:themeShade="BF"/>
                          <w:sz w:val="18"/>
                          <w:szCs w:val="18"/>
                        </w:rPr>
                        <w:t>–</w:t>
                      </w:r>
                      <w:r w:rsidRPr="00E26E9F" w:rsidR="00E26E9F">
                        <w:rPr>
                          <w:rFonts w:cs="Arial"/>
                          <w:color w:val="FF0000"/>
                          <w:sz w:val="18"/>
                          <w:szCs w:val="18"/>
                        </w:rPr>
                        <w:t xml:space="preserve"> </w:t>
                      </w:r>
                      <w:r w:rsidR="00E26E9F">
                        <w:rPr>
                          <w:rFonts w:cs="Arial"/>
                          <w:color w:val="FF0000"/>
                          <w:sz w:val="18"/>
                          <w:szCs w:val="18"/>
                        </w:rPr>
                        <w:t xml:space="preserve"> </w:t>
                      </w:r>
                      <w:r w:rsidR="00541F50">
                        <w:rPr>
                          <w:rFonts w:cs="Arial"/>
                          <w:color w:val="FF0000"/>
                          <w:sz w:val="18"/>
                          <w:szCs w:val="18"/>
                        </w:rPr>
                        <w:t xml:space="preserve"> </w:t>
                      </w:r>
                      <w:r w:rsidR="001A0CBB">
                        <w:rPr>
                          <w:rFonts w:cs="Arial"/>
                          <w:sz w:val="18"/>
                          <w:szCs w:val="18"/>
                        </w:rPr>
                        <w:t>Approximately</w:t>
                      </w:r>
                      <w:r>
                        <w:rPr>
                          <w:rFonts w:cs="Arial"/>
                          <w:sz w:val="18"/>
                          <w:szCs w:val="18"/>
                        </w:rPr>
                        <w:t xml:space="preserve"> 50% of this scheme has completed to date.  Progress has been affected </w:t>
                      </w:r>
                      <w:r w:rsidR="00190ACD">
                        <w:rPr>
                          <w:rFonts w:cs="Arial"/>
                          <w:sz w:val="18"/>
                          <w:szCs w:val="18"/>
                        </w:rPr>
                        <w:t>as a result of</w:t>
                      </w:r>
                      <w:r>
                        <w:rPr>
                          <w:rFonts w:cs="Arial"/>
                          <w:sz w:val="18"/>
                          <w:szCs w:val="18"/>
                        </w:rPr>
                        <w:t xml:space="preserve"> uncertainty </w:t>
                      </w:r>
                      <w:r w:rsidR="00190ACD">
                        <w:rPr>
                          <w:rFonts w:cs="Arial"/>
                          <w:sz w:val="18"/>
                          <w:szCs w:val="18"/>
                        </w:rPr>
                        <w:t>around the</w:t>
                      </w:r>
                      <w:r>
                        <w:rPr>
                          <w:rFonts w:cs="Arial"/>
                          <w:sz w:val="18"/>
                          <w:szCs w:val="18"/>
                        </w:rPr>
                        <w:t xml:space="preserve"> Youth zone and the impact of this on the design of the western apron.  The cabinet decision </w:t>
                      </w:r>
                      <w:r w:rsidR="00EA24EB">
                        <w:rPr>
                          <w:rFonts w:cs="Arial"/>
                          <w:sz w:val="18"/>
                          <w:szCs w:val="18"/>
                        </w:rPr>
                        <w:t xml:space="preserve">in </w:t>
                      </w:r>
                      <w:r w:rsidR="007C04E5">
                        <w:rPr>
                          <w:rFonts w:cs="Arial"/>
                          <w:sz w:val="18"/>
                          <w:szCs w:val="18"/>
                        </w:rPr>
                        <w:t xml:space="preserve">August </w:t>
                      </w:r>
                      <w:r>
                        <w:rPr>
                          <w:rFonts w:cs="Arial"/>
                          <w:sz w:val="18"/>
                          <w:szCs w:val="18"/>
                        </w:rPr>
                        <w:t xml:space="preserve">not to progress with the Youth Zone has allowed the design of the western apron to be developed and </w:t>
                      </w:r>
                      <w:r w:rsidR="001A0CBB">
                        <w:rPr>
                          <w:rFonts w:cs="Arial"/>
                          <w:sz w:val="18"/>
                          <w:szCs w:val="18"/>
                        </w:rPr>
                        <w:t>will be finalised</w:t>
                      </w:r>
                      <w:r>
                        <w:rPr>
                          <w:rFonts w:cs="Arial"/>
                          <w:sz w:val="18"/>
                          <w:szCs w:val="18"/>
                        </w:rPr>
                        <w:t xml:space="preserve"> by the end of October.  An indicative budget and programme will follow.  </w:t>
                      </w:r>
                      <w:r w:rsidR="007C04E5">
                        <w:rPr>
                          <w:rFonts w:cs="Arial"/>
                          <w:sz w:val="18"/>
                          <w:szCs w:val="18"/>
                        </w:rPr>
                        <w:t xml:space="preserve">Design changes mean that the scheme will be </w:t>
                      </w:r>
                      <w:r>
                        <w:rPr>
                          <w:rFonts w:cs="Arial"/>
                          <w:sz w:val="18"/>
                          <w:szCs w:val="18"/>
                        </w:rPr>
                        <w:t xml:space="preserve"> required to go back to planning (anticipated in Q4 Jan-Mar 2019) with start on site anticipated in Q1 year 6 (April 2019).  The build is expected to take approximately 50 weeks.</w:t>
                      </w:r>
                    </w:p>
                    <w:p w:rsidR="00F11542" w:rsidRPr="0027397B" w:rsidP="00F11542">
                      <w:pPr>
                        <w:rPr>
                          <w:b/>
                          <w:color w:val="5B9BD5" w:themeColor="accent1"/>
                        </w:rPr>
                      </w:pPr>
                      <w:r w:rsidRPr="003E3473">
                        <w:rPr>
                          <w:b/>
                          <w:color w:val="FFC000" w:themeColor="accent4"/>
                        </w:rPr>
                        <w:t>New Hall Lane Local Centre</w:t>
                      </w:r>
                      <w:r w:rsidRPr="00A20199">
                        <w:rPr>
                          <w:color w:val="5B9BD5" w:themeColor="accent1"/>
                          <w:sz w:val="18"/>
                          <w:szCs w:val="18"/>
                        </w:rPr>
                        <w:t xml:space="preserve"> </w:t>
                      </w:r>
                      <w:r w:rsidRPr="00E26E9F">
                        <w:rPr>
                          <w:sz w:val="18"/>
                          <w:szCs w:val="18"/>
                        </w:rPr>
                        <w:t>–</w:t>
                      </w:r>
                      <w:r>
                        <w:rPr>
                          <w:sz w:val="18"/>
                          <w:szCs w:val="18"/>
                        </w:rPr>
                        <w:t xml:space="preserve"> As reported last quarter</w:t>
                      </w:r>
                      <w:r w:rsidR="002774DF">
                        <w:rPr>
                          <w:sz w:val="18"/>
                          <w:szCs w:val="18"/>
                        </w:rPr>
                        <w:t>,</w:t>
                      </w:r>
                      <w:r>
                        <w:rPr>
                          <w:sz w:val="18"/>
                          <w:szCs w:val="18"/>
                        </w:rPr>
                        <w:t xml:space="preserve"> extreme temperatures have resulted in delays to surfacing.  This has resulted in the </w:t>
                      </w:r>
                      <w:r w:rsidR="00376F1E">
                        <w:rPr>
                          <w:sz w:val="18"/>
                          <w:szCs w:val="18"/>
                        </w:rPr>
                        <w:t>final stage of road resurfacing needing to be delayed until</w:t>
                      </w:r>
                      <w:r>
                        <w:rPr>
                          <w:sz w:val="18"/>
                          <w:szCs w:val="18"/>
                        </w:rPr>
                        <w:t xml:space="preserve"> the spring.</w:t>
                      </w:r>
                      <w:r w:rsidRPr="00F11542">
                        <w:rPr>
                          <w:b/>
                          <w:color w:val="5B9BD5" w:themeColor="accent1"/>
                        </w:rPr>
                        <w:t xml:space="preserve"> </w:t>
                      </w:r>
                    </w:p>
                    <w:p w:rsidR="00377C4A" w:rsidRPr="00E26E9F" w:rsidP="00377C4A">
                      <w:pPr>
                        <w:rPr>
                          <w:sz w:val="18"/>
                          <w:szCs w:val="18"/>
                        </w:rPr>
                      </w:pPr>
                      <w:r w:rsidRPr="00500504">
                        <w:rPr>
                          <w:b/>
                          <w:color w:val="FFC000" w:themeColor="accent4"/>
                        </w:rPr>
                        <w:t>Bamber Bridge – Town Centre Improvements</w:t>
                      </w:r>
                      <w:r w:rsidRPr="00500504">
                        <w:rPr>
                          <w:color w:val="FFC000" w:themeColor="accent4"/>
                          <w:sz w:val="18"/>
                          <w:szCs w:val="18"/>
                        </w:rPr>
                        <w:t xml:space="preserve"> </w:t>
                      </w:r>
                      <w:r w:rsidRPr="003E3473">
                        <w:rPr>
                          <w:color w:val="FFC000" w:themeColor="accent4"/>
                          <w:sz w:val="18"/>
                          <w:szCs w:val="18"/>
                        </w:rPr>
                        <w:t xml:space="preserve">– </w:t>
                      </w:r>
                      <w:r>
                        <w:rPr>
                          <w:sz w:val="18"/>
                          <w:szCs w:val="18"/>
                        </w:rPr>
                        <w:t xml:space="preserve">This </w:t>
                      </w:r>
                      <w:r w:rsidR="004D277C">
                        <w:rPr>
                          <w:sz w:val="18"/>
                          <w:szCs w:val="18"/>
                        </w:rPr>
                        <w:t xml:space="preserve">majority of the </w:t>
                      </w:r>
                      <w:r w:rsidR="003B12FD">
                        <w:rPr>
                          <w:sz w:val="18"/>
                          <w:szCs w:val="18"/>
                        </w:rPr>
                        <w:t>scheme (</w:t>
                      </w:r>
                      <w:r w:rsidR="004D277C">
                        <w:rPr>
                          <w:sz w:val="18"/>
                          <w:szCs w:val="18"/>
                        </w:rPr>
                        <w:t xml:space="preserve">footways) </w:t>
                      </w:r>
                      <w:r>
                        <w:rPr>
                          <w:sz w:val="18"/>
                          <w:szCs w:val="18"/>
                        </w:rPr>
                        <w:t xml:space="preserve">will complete </w:t>
                      </w:r>
                      <w:r w:rsidR="002774DF">
                        <w:rPr>
                          <w:sz w:val="18"/>
                          <w:szCs w:val="18"/>
                        </w:rPr>
                        <w:t>in Q3 which is slighter later than expected due</w:t>
                      </w:r>
                      <w:r>
                        <w:rPr>
                          <w:sz w:val="18"/>
                          <w:szCs w:val="18"/>
                        </w:rPr>
                        <w:t xml:space="preserve"> to the complexities of working on a live highway and carriageway.  The final road resurfacing element included in the scheme has now had to be delayed until the spring when weather conditions are more suitable.</w:t>
                      </w:r>
                    </w:p>
                    <w:p w:rsidR="003332D6" w:rsidRPr="00286A8C" w:rsidP="003332D6">
                      <w:pPr>
                        <w:rPr>
                          <w:color w:val="FF0000"/>
                          <w:sz w:val="18"/>
                          <w:szCs w:val="18"/>
                        </w:rPr>
                      </w:pPr>
                    </w:p>
                    <w:p w:rsidR="00246D4F"/>
                  </w:txbxContent>
                </v:textbox>
              </v:shape>
            </w:pict>
          </mc:Fallback>
        </mc:AlternateContent>
      </w:r>
      <w:r w:rsidR="003863BC">
        <w:rPr>
          <w:noProof/>
          <w:lang w:eastAsia="en-GB"/>
        </w:rPr>
        <mc:AlternateContent>
          <mc:Choice Requires="wps">
            <w:drawing>
              <wp:anchor distT="0" distB="0" distL="114300" distR="114300" simplePos="0" relativeHeight="251671552" behindDoc="0" locked="0" layoutInCell="1" allowOverlap="1">
                <wp:simplePos x="0" y="0"/>
                <wp:positionH relativeFrom="column">
                  <wp:posOffset>-164758</wp:posOffset>
                </wp:positionH>
                <wp:positionV relativeFrom="paragraph">
                  <wp:posOffset>8329539</wp:posOffset>
                </wp:positionV>
                <wp:extent cx="5671185" cy="1503045"/>
                <wp:effectExtent l="0" t="0" r="24765" b="20955"/>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wps:spPr>
                        <a:xfrm>
                          <a:off x="0" y="0"/>
                          <a:ext cx="5671185" cy="1503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578" w:rsidRPr="001E1F07">
                            <w:pPr>
                              <w:rPr>
                                <w:sz w:val="16"/>
                                <w:szCs w:val="16"/>
                              </w:rPr>
                            </w:pPr>
                            <w:r w:rsidRPr="001E1F07">
                              <w:rPr>
                                <w:b/>
                                <w:color w:val="70AD47" w:themeColor="accent6"/>
                                <w:sz w:val="16"/>
                                <w:szCs w:val="16"/>
                              </w:rPr>
                              <w:t>Green</w:t>
                            </w:r>
                            <w:r w:rsidRPr="001E1F07">
                              <w:rPr>
                                <w:sz w:val="16"/>
                                <w:szCs w:val="16"/>
                              </w:rPr>
                              <w:t xml:space="preserve"> – no </w:t>
                            </w:r>
                            <w:r w:rsidR="003863BC">
                              <w:rPr>
                                <w:sz w:val="16"/>
                                <w:szCs w:val="16"/>
                              </w:rPr>
                              <w:t xml:space="preserve">issues </w:t>
                            </w:r>
                            <w:r w:rsidR="00376F1E">
                              <w:rPr>
                                <w:sz w:val="16"/>
                                <w:szCs w:val="16"/>
                              </w:rPr>
                              <w:t xml:space="preserve">- </w:t>
                            </w:r>
                            <w:r w:rsidRPr="001E1F07" w:rsidR="00376F1E">
                              <w:rPr>
                                <w:sz w:val="16"/>
                                <w:szCs w:val="16"/>
                              </w:rPr>
                              <w:t>project</w:t>
                            </w:r>
                            <w:r w:rsidRPr="001E1F07">
                              <w:rPr>
                                <w:sz w:val="16"/>
                                <w:szCs w:val="16"/>
                              </w:rPr>
                              <w:t xml:space="preserve"> is on target, within budget</w:t>
                            </w:r>
                            <w:r w:rsidR="00376F1E">
                              <w:rPr>
                                <w:sz w:val="16"/>
                                <w:szCs w:val="16"/>
                              </w:rPr>
                              <w:t xml:space="preserve"> allocations</w:t>
                            </w:r>
                            <w:r w:rsidR="003863BC">
                              <w:rPr>
                                <w:sz w:val="16"/>
                                <w:szCs w:val="16"/>
                              </w:rPr>
                              <w:t xml:space="preserve"> </w:t>
                            </w:r>
                            <w:r w:rsidR="00376F1E">
                              <w:rPr>
                                <w:sz w:val="16"/>
                                <w:szCs w:val="16"/>
                              </w:rPr>
                              <w:t xml:space="preserve">- </w:t>
                            </w:r>
                            <w:r w:rsidRPr="001E1F07" w:rsidR="00376F1E">
                              <w:rPr>
                                <w:sz w:val="16"/>
                                <w:szCs w:val="16"/>
                              </w:rPr>
                              <w:t>timescales</w:t>
                            </w:r>
                            <w:r w:rsidRPr="001E1F07">
                              <w:rPr>
                                <w:sz w:val="16"/>
                                <w:szCs w:val="16"/>
                              </w:rPr>
                              <w:t xml:space="preserve"> and </w:t>
                            </w:r>
                            <w:r w:rsidR="00376F1E">
                              <w:rPr>
                                <w:sz w:val="16"/>
                                <w:szCs w:val="16"/>
                              </w:rPr>
                              <w:t xml:space="preserve">to an </w:t>
                            </w:r>
                            <w:r w:rsidRPr="001E1F07">
                              <w:rPr>
                                <w:sz w:val="16"/>
                                <w:szCs w:val="16"/>
                              </w:rPr>
                              <w:t>appropriate quality</w:t>
                            </w:r>
                            <w:r w:rsidR="00376F1E">
                              <w:rPr>
                                <w:sz w:val="16"/>
                                <w:szCs w:val="16"/>
                              </w:rPr>
                              <w:t xml:space="preserve"> standard</w:t>
                            </w:r>
                            <w:r w:rsidRPr="001E1F07">
                              <w:rPr>
                                <w:sz w:val="16"/>
                                <w:szCs w:val="16"/>
                              </w:rPr>
                              <w:t xml:space="preserve">.  </w:t>
                            </w:r>
                            <w:r w:rsidR="00376F1E">
                              <w:rPr>
                                <w:sz w:val="16"/>
                                <w:szCs w:val="16"/>
                              </w:rPr>
                              <w:t xml:space="preserve">Some risks have been identified (recorded on the risk register) but </w:t>
                            </w:r>
                            <w:r w:rsidRPr="001E1F07">
                              <w:rPr>
                                <w:sz w:val="16"/>
                                <w:szCs w:val="16"/>
                              </w:rPr>
                              <w:t>these are low and can be managed.</w:t>
                            </w:r>
                          </w:p>
                          <w:p w:rsidR="00FE7578" w:rsidRPr="001E1F07">
                            <w:pPr>
                              <w:rPr>
                                <w:sz w:val="16"/>
                                <w:szCs w:val="16"/>
                              </w:rPr>
                            </w:pPr>
                            <w:r w:rsidRPr="001E1F07">
                              <w:rPr>
                                <w:b/>
                                <w:color w:val="FFC000" w:themeColor="accent4"/>
                                <w:sz w:val="16"/>
                                <w:szCs w:val="16"/>
                              </w:rPr>
                              <w:t>Amber</w:t>
                            </w:r>
                            <w:r w:rsidRPr="001E1F07">
                              <w:rPr>
                                <w:sz w:val="16"/>
                                <w:szCs w:val="16"/>
                              </w:rPr>
                              <w:t xml:space="preserve"> – </w:t>
                            </w:r>
                            <w:r w:rsidR="00376F1E">
                              <w:rPr>
                                <w:sz w:val="16"/>
                                <w:szCs w:val="16"/>
                              </w:rPr>
                              <w:t>There are s</w:t>
                            </w:r>
                            <w:r w:rsidRPr="001E1F07">
                              <w:rPr>
                                <w:sz w:val="16"/>
                                <w:szCs w:val="16"/>
                              </w:rPr>
                              <w:t xml:space="preserve">ome issues that may affect programme, delivery, cost and/or quality but they are currently being </w:t>
                            </w:r>
                            <w:r w:rsidRPr="001E1F07" w:rsidR="001E1F07">
                              <w:rPr>
                                <w:sz w:val="16"/>
                                <w:szCs w:val="16"/>
                              </w:rPr>
                              <w:t>managed</w:t>
                            </w:r>
                            <w:r w:rsidRPr="001E1F07">
                              <w:rPr>
                                <w:sz w:val="16"/>
                                <w:szCs w:val="16"/>
                              </w:rPr>
                              <w:t xml:space="preserve"> and mitigation measures are in place</w:t>
                            </w:r>
                            <w:r w:rsidR="003863BC">
                              <w:rPr>
                                <w:sz w:val="16"/>
                                <w:szCs w:val="16"/>
                              </w:rPr>
                              <w:t xml:space="preserve"> - </w:t>
                            </w:r>
                            <w:r w:rsidRPr="001E1F07">
                              <w:rPr>
                                <w:sz w:val="16"/>
                                <w:szCs w:val="16"/>
                              </w:rPr>
                              <w:t xml:space="preserve"> Project will </w:t>
                            </w:r>
                            <w:r w:rsidR="00376F1E">
                              <w:rPr>
                                <w:sz w:val="16"/>
                                <w:szCs w:val="16"/>
                              </w:rPr>
                              <w:t xml:space="preserve">be </w:t>
                            </w:r>
                            <w:r w:rsidRPr="001E1F07">
                              <w:rPr>
                                <w:sz w:val="16"/>
                                <w:szCs w:val="16"/>
                              </w:rPr>
                              <w:t>deliver</w:t>
                            </w:r>
                            <w:r w:rsidR="003863BC">
                              <w:rPr>
                                <w:sz w:val="16"/>
                                <w:szCs w:val="16"/>
                              </w:rPr>
                              <w:t>ed</w:t>
                            </w:r>
                            <w:r w:rsidRPr="001E1F07">
                              <w:rPr>
                                <w:sz w:val="16"/>
                                <w:szCs w:val="16"/>
                              </w:rPr>
                              <w:t xml:space="preserve"> in budget</w:t>
                            </w:r>
                            <w:r w:rsidR="003863BC">
                              <w:rPr>
                                <w:sz w:val="16"/>
                                <w:szCs w:val="16"/>
                              </w:rPr>
                              <w:t xml:space="preserve"> - </w:t>
                            </w:r>
                            <w:r w:rsidRPr="001E1F07" w:rsidR="001E1F07">
                              <w:rPr>
                                <w:sz w:val="16"/>
                                <w:szCs w:val="16"/>
                              </w:rPr>
                              <w:t xml:space="preserve">  Programme manager </w:t>
                            </w:r>
                            <w:r w:rsidR="00376F1E">
                              <w:rPr>
                                <w:sz w:val="16"/>
                                <w:szCs w:val="16"/>
                              </w:rPr>
                              <w:t>is satisfied that key s</w:t>
                            </w:r>
                            <w:r w:rsidRPr="001E1F07" w:rsidR="001E1F07">
                              <w:rPr>
                                <w:sz w:val="16"/>
                                <w:szCs w:val="16"/>
                              </w:rPr>
                              <w:t xml:space="preserve">takeholders </w:t>
                            </w:r>
                            <w:r w:rsidR="00376F1E">
                              <w:rPr>
                                <w:sz w:val="16"/>
                                <w:szCs w:val="16"/>
                              </w:rPr>
                              <w:t>are aware of delay.  PM has accepted that</w:t>
                            </w:r>
                            <w:r w:rsidRPr="001E1F07" w:rsidR="001E1F07">
                              <w:rPr>
                                <w:sz w:val="16"/>
                                <w:szCs w:val="16"/>
                              </w:rPr>
                              <w:t xml:space="preserve"> political/logistical impact will need to be managed. Mitigation measures being implemented.</w:t>
                            </w:r>
                          </w:p>
                          <w:p w:rsidR="00FE7578" w:rsidRPr="001E1F07">
                            <w:pPr>
                              <w:rPr>
                                <w:sz w:val="16"/>
                                <w:szCs w:val="16"/>
                              </w:rPr>
                            </w:pPr>
                            <w:r w:rsidRPr="001E1F07">
                              <w:rPr>
                                <w:b/>
                                <w:color w:val="FF0000"/>
                                <w:sz w:val="16"/>
                                <w:szCs w:val="16"/>
                              </w:rPr>
                              <w:t xml:space="preserve">Red </w:t>
                            </w:r>
                            <w:r w:rsidRPr="001E1F07">
                              <w:rPr>
                                <w:sz w:val="16"/>
                                <w:szCs w:val="16"/>
                              </w:rPr>
                              <w:t>– Issues have arisen but at this point appropriate mitigation measures have not been agreed or implemented.  Project delivery timescales hav</w:t>
                            </w:r>
                            <w:r w:rsidR="001E1F07">
                              <w:rPr>
                                <w:sz w:val="16"/>
                                <w:szCs w:val="16"/>
                              </w:rPr>
                              <w:t>e</w:t>
                            </w:r>
                            <w:r w:rsidRPr="001E1F07">
                              <w:rPr>
                                <w:sz w:val="16"/>
                                <w:szCs w:val="16"/>
                              </w:rPr>
                              <w:t xml:space="preserve"> slipped and financial forecasts indicates </w:t>
                            </w:r>
                            <w:r w:rsidRPr="001E1F07" w:rsidR="00376F1E">
                              <w:rPr>
                                <w:sz w:val="16"/>
                                <w:szCs w:val="16"/>
                              </w:rPr>
                              <w:t>overspend</w:t>
                            </w:r>
                            <w:r w:rsidR="00376F1E">
                              <w:rPr>
                                <w:sz w:val="16"/>
                                <w:szCs w:val="16"/>
                              </w:rPr>
                              <w:t>.</w:t>
                            </w:r>
                            <w:r w:rsidRPr="001E1F07">
                              <w:rPr>
                                <w:sz w:val="16"/>
                                <w:szCs w:val="16"/>
                              </w:rPr>
                              <w:t xml:space="preserve">  Programme manager/stakeholders</w:t>
                            </w:r>
                            <w:r w:rsidR="00376F1E">
                              <w:rPr>
                                <w:sz w:val="16"/>
                                <w:szCs w:val="16"/>
                              </w:rPr>
                              <w:t xml:space="preserve"> are not yet aware of delay or have not</w:t>
                            </w:r>
                            <w:r w:rsidRPr="001E1F07">
                              <w:rPr>
                                <w:sz w:val="16"/>
                                <w:szCs w:val="16"/>
                              </w:rPr>
                              <w:t xml:space="preserve"> accepted that the political/logistical impact on project</w:t>
                            </w:r>
                            <w:r w:rsidRPr="001E1F07" w:rsidR="001E1F07">
                              <w:rPr>
                                <w:sz w:val="16"/>
                                <w:szCs w:val="16"/>
                              </w:rPr>
                              <w:t xml:space="preserve"> delivery will need to be managed.  Mitigation </w:t>
                            </w:r>
                            <w:r w:rsidR="00376F1E">
                              <w:rPr>
                                <w:sz w:val="16"/>
                                <w:szCs w:val="16"/>
                              </w:rPr>
                              <w:t xml:space="preserve">measures have not yet </w:t>
                            </w:r>
                            <w:r w:rsidRPr="001E1F07" w:rsidR="001E1F07">
                              <w:rPr>
                                <w:sz w:val="16"/>
                                <w:szCs w:val="16"/>
                              </w:rPr>
                              <w:t>been implemented.</w:t>
                            </w:r>
                            <w:r w:rsidR="00376F1E">
                              <w:rPr>
                                <w:sz w:val="16"/>
                                <w:szCs w:val="16"/>
                              </w:rPr>
                              <w:t xml:space="preserve"> When agreed they should be outlined in issues log with the appropriate issue owner.</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4" o:spid="_x0000_s1027" type="#_x0000_t202" style="width:446.55pt;height:118.35pt;margin-top:655.85pt;margin-left:-12.95pt;mso-height-percent:0;mso-height-relative:margin;mso-wrap-distance-bottom:0;mso-wrap-distance-left:9pt;mso-wrap-distance-right:9pt;mso-wrap-distance-top:0;mso-wrap-style:square;position:absolute;visibility:visible;v-text-anchor:top;z-index:251672576" fillcolor="white" strokeweight="0.5pt">
                <v:textbox>
                  <w:txbxContent>
                    <w:p w:rsidR="00FE7578" w:rsidRPr="001E1F07">
                      <w:pPr>
                        <w:rPr>
                          <w:sz w:val="16"/>
                          <w:szCs w:val="16"/>
                        </w:rPr>
                      </w:pPr>
                      <w:r w:rsidRPr="001E1F07">
                        <w:rPr>
                          <w:b/>
                          <w:color w:val="70AD47" w:themeColor="accent6"/>
                          <w:sz w:val="16"/>
                          <w:szCs w:val="16"/>
                        </w:rPr>
                        <w:t>Green</w:t>
                      </w:r>
                      <w:r w:rsidRPr="001E1F07">
                        <w:rPr>
                          <w:sz w:val="16"/>
                          <w:szCs w:val="16"/>
                        </w:rPr>
                        <w:t xml:space="preserve"> – no </w:t>
                      </w:r>
                      <w:r w:rsidR="003863BC">
                        <w:rPr>
                          <w:sz w:val="16"/>
                          <w:szCs w:val="16"/>
                        </w:rPr>
                        <w:t xml:space="preserve">issues </w:t>
                      </w:r>
                      <w:r w:rsidR="00376F1E">
                        <w:rPr>
                          <w:sz w:val="16"/>
                          <w:szCs w:val="16"/>
                        </w:rPr>
                        <w:t xml:space="preserve">- </w:t>
                      </w:r>
                      <w:r w:rsidRPr="001E1F07" w:rsidR="00376F1E">
                        <w:rPr>
                          <w:sz w:val="16"/>
                          <w:szCs w:val="16"/>
                        </w:rPr>
                        <w:t>project</w:t>
                      </w:r>
                      <w:r w:rsidRPr="001E1F07">
                        <w:rPr>
                          <w:sz w:val="16"/>
                          <w:szCs w:val="16"/>
                        </w:rPr>
                        <w:t xml:space="preserve"> is on target, within budget</w:t>
                      </w:r>
                      <w:r w:rsidR="00376F1E">
                        <w:rPr>
                          <w:sz w:val="16"/>
                          <w:szCs w:val="16"/>
                        </w:rPr>
                        <w:t xml:space="preserve"> allocations</w:t>
                      </w:r>
                      <w:r w:rsidR="003863BC">
                        <w:rPr>
                          <w:sz w:val="16"/>
                          <w:szCs w:val="16"/>
                        </w:rPr>
                        <w:t xml:space="preserve"> </w:t>
                      </w:r>
                      <w:r w:rsidR="00376F1E">
                        <w:rPr>
                          <w:sz w:val="16"/>
                          <w:szCs w:val="16"/>
                        </w:rPr>
                        <w:t xml:space="preserve">- </w:t>
                      </w:r>
                      <w:r w:rsidRPr="001E1F07" w:rsidR="00376F1E">
                        <w:rPr>
                          <w:sz w:val="16"/>
                          <w:szCs w:val="16"/>
                        </w:rPr>
                        <w:t>timescales</w:t>
                      </w:r>
                      <w:r w:rsidRPr="001E1F07">
                        <w:rPr>
                          <w:sz w:val="16"/>
                          <w:szCs w:val="16"/>
                        </w:rPr>
                        <w:t xml:space="preserve"> and </w:t>
                      </w:r>
                      <w:r w:rsidR="00376F1E">
                        <w:rPr>
                          <w:sz w:val="16"/>
                          <w:szCs w:val="16"/>
                        </w:rPr>
                        <w:t xml:space="preserve">to an </w:t>
                      </w:r>
                      <w:r w:rsidRPr="001E1F07">
                        <w:rPr>
                          <w:sz w:val="16"/>
                          <w:szCs w:val="16"/>
                        </w:rPr>
                        <w:t>appropriate quality</w:t>
                      </w:r>
                      <w:r w:rsidR="00376F1E">
                        <w:rPr>
                          <w:sz w:val="16"/>
                          <w:szCs w:val="16"/>
                        </w:rPr>
                        <w:t xml:space="preserve"> standard</w:t>
                      </w:r>
                      <w:r w:rsidRPr="001E1F07">
                        <w:rPr>
                          <w:sz w:val="16"/>
                          <w:szCs w:val="16"/>
                        </w:rPr>
                        <w:t xml:space="preserve">.  </w:t>
                      </w:r>
                      <w:r w:rsidR="00376F1E">
                        <w:rPr>
                          <w:sz w:val="16"/>
                          <w:szCs w:val="16"/>
                        </w:rPr>
                        <w:t xml:space="preserve">Some risks have been identified (recorded on the risk register) but </w:t>
                      </w:r>
                      <w:r w:rsidRPr="001E1F07">
                        <w:rPr>
                          <w:sz w:val="16"/>
                          <w:szCs w:val="16"/>
                        </w:rPr>
                        <w:t>these are low and can be managed.</w:t>
                      </w:r>
                    </w:p>
                    <w:p w:rsidR="00FE7578" w:rsidRPr="001E1F07">
                      <w:pPr>
                        <w:rPr>
                          <w:sz w:val="16"/>
                          <w:szCs w:val="16"/>
                        </w:rPr>
                      </w:pPr>
                      <w:r w:rsidRPr="001E1F07">
                        <w:rPr>
                          <w:b/>
                          <w:color w:val="FFC000" w:themeColor="accent4"/>
                          <w:sz w:val="16"/>
                          <w:szCs w:val="16"/>
                        </w:rPr>
                        <w:t>Amber</w:t>
                      </w:r>
                      <w:r w:rsidRPr="001E1F07">
                        <w:rPr>
                          <w:sz w:val="16"/>
                          <w:szCs w:val="16"/>
                        </w:rPr>
                        <w:t xml:space="preserve"> – </w:t>
                      </w:r>
                      <w:r w:rsidR="00376F1E">
                        <w:rPr>
                          <w:sz w:val="16"/>
                          <w:szCs w:val="16"/>
                        </w:rPr>
                        <w:t>There are s</w:t>
                      </w:r>
                      <w:r w:rsidRPr="001E1F07">
                        <w:rPr>
                          <w:sz w:val="16"/>
                          <w:szCs w:val="16"/>
                        </w:rPr>
                        <w:t xml:space="preserve">ome issues that may affect programme, delivery, cost and/or quality but they are currently being </w:t>
                      </w:r>
                      <w:r w:rsidRPr="001E1F07" w:rsidR="001E1F07">
                        <w:rPr>
                          <w:sz w:val="16"/>
                          <w:szCs w:val="16"/>
                        </w:rPr>
                        <w:t>managed</w:t>
                      </w:r>
                      <w:r w:rsidRPr="001E1F07">
                        <w:rPr>
                          <w:sz w:val="16"/>
                          <w:szCs w:val="16"/>
                        </w:rPr>
                        <w:t xml:space="preserve"> and mitigation measures are in place</w:t>
                      </w:r>
                      <w:r w:rsidR="003863BC">
                        <w:rPr>
                          <w:sz w:val="16"/>
                          <w:szCs w:val="16"/>
                        </w:rPr>
                        <w:t xml:space="preserve"> - </w:t>
                      </w:r>
                      <w:r w:rsidRPr="001E1F07">
                        <w:rPr>
                          <w:sz w:val="16"/>
                          <w:szCs w:val="16"/>
                        </w:rPr>
                        <w:t xml:space="preserve"> Project will </w:t>
                      </w:r>
                      <w:r w:rsidR="00376F1E">
                        <w:rPr>
                          <w:sz w:val="16"/>
                          <w:szCs w:val="16"/>
                        </w:rPr>
                        <w:t xml:space="preserve">be </w:t>
                      </w:r>
                      <w:r w:rsidRPr="001E1F07">
                        <w:rPr>
                          <w:sz w:val="16"/>
                          <w:szCs w:val="16"/>
                        </w:rPr>
                        <w:t>deliver</w:t>
                      </w:r>
                      <w:r w:rsidR="003863BC">
                        <w:rPr>
                          <w:sz w:val="16"/>
                          <w:szCs w:val="16"/>
                        </w:rPr>
                        <w:t>ed</w:t>
                      </w:r>
                      <w:r w:rsidRPr="001E1F07">
                        <w:rPr>
                          <w:sz w:val="16"/>
                          <w:szCs w:val="16"/>
                        </w:rPr>
                        <w:t xml:space="preserve"> in budget</w:t>
                      </w:r>
                      <w:r w:rsidR="003863BC">
                        <w:rPr>
                          <w:sz w:val="16"/>
                          <w:szCs w:val="16"/>
                        </w:rPr>
                        <w:t xml:space="preserve"> - </w:t>
                      </w:r>
                      <w:r w:rsidRPr="001E1F07" w:rsidR="001E1F07">
                        <w:rPr>
                          <w:sz w:val="16"/>
                          <w:szCs w:val="16"/>
                        </w:rPr>
                        <w:t xml:space="preserve">  Programme manager </w:t>
                      </w:r>
                      <w:r w:rsidR="00376F1E">
                        <w:rPr>
                          <w:sz w:val="16"/>
                          <w:szCs w:val="16"/>
                        </w:rPr>
                        <w:t>is satisfied that key s</w:t>
                      </w:r>
                      <w:r w:rsidRPr="001E1F07" w:rsidR="001E1F07">
                        <w:rPr>
                          <w:sz w:val="16"/>
                          <w:szCs w:val="16"/>
                        </w:rPr>
                        <w:t xml:space="preserve">takeholders </w:t>
                      </w:r>
                      <w:r w:rsidR="00376F1E">
                        <w:rPr>
                          <w:sz w:val="16"/>
                          <w:szCs w:val="16"/>
                        </w:rPr>
                        <w:t>are aware of delay.  PM has accepted that</w:t>
                      </w:r>
                      <w:r w:rsidRPr="001E1F07" w:rsidR="001E1F07">
                        <w:rPr>
                          <w:sz w:val="16"/>
                          <w:szCs w:val="16"/>
                        </w:rPr>
                        <w:t xml:space="preserve"> political/logistical impact will need to be managed. Mitigation measures being implemented.</w:t>
                      </w:r>
                    </w:p>
                    <w:p w:rsidR="00FE7578" w:rsidRPr="001E1F07">
                      <w:pPr>
                        <w:rPr>
                          <w:sz w:val="16"/>
                          <w:szCs w:val="16"/>
                        </w:rPr>
                      </w:pPr>
                      <w:r w:rsidRPr="001E1F07">
                        <w:rPr>
                          <w:b/>
                          <w:color w:val="FF0000"/>
                          <w:sz w:val="16"/>
                          <w:szCs w:val="16"/>
                        </w:rPr>
                        <w:t xml:space="preserve">Red </w:t>
                      </w:r>
                      <w:r w:rsidRPr="001E1F07">
                        <w:rPr>
                          <w:sz w:val="16"/>
                          <w:szCs w:val="16"/>
                        </w:rPr>
                        <w:t>– Issues have arisen but at this point appropriate mitigation measures have not been agreed or implemented.  Project delivery timescales hav</w:t>
                      </w:r>
                      <w:r w:rsidR="001E1F07">
                        <w:rPr>
                          <w:sz w:val="16"/>
                          <w:szCs w:val="16"/>
                        </w:rPr>
                        <w:t>e</w:t>
                      </w:r>
                      <w:r w:rsidRPr="001E1F07">
                        <w:rPr>
                          <w:sz w:val="16"/>
                          <w:szCs w:val="16"/>
                        </w:rPr>
                        <w:t xml:space="preserve"> slipped and financial forecasts indicates </w:t>
                      </w:r>
                      <w:r w:rsidRPr="001E1F07" w:rsidR="00376F1E">
                        <w:rPr>
                          <w:sz w:val="16"/>
                          <w:szCs w:val="16"/>
                        </w:rPr>
                        <w:t>overspend</w:t>
                      </w:r>
                      <w:r w:rsidR="00376F1E">
                        <w:rPr>
                          <w:sz w:val="16"/>
                          <w:szCs w:val="16"/>
                        </w:rPr>
                        <w:t>.</w:t>
                      </w:r>
                      <w:r w:rsidRPr="001E1F07">
                        <w:rPr>
                          <w:sz w:val="16"/>
                          <w:szCs w:val="16"/>
                        </w:rPr>
                        <w:t xml:space="preserve">  Programme manager/stakeholders</w:t>
                      </w:r>
                      <w:r w:rsidR="00376F1E">
                        <w:rPr>
                          <w:sz w:val="16"/>
                          <w:szCs w:val="16"/>
                        </w:rPr>
                        <w:t xml:space="preserve"> are not yet aware of delay or have not</w:t>
                      </w:r>
                      <w:r w:rsidRPr="001E1F07">
                        <w:rPr>
                          <w:sz w:val="16"/>
                          <w:szCs w:val="16"/>
                        </w:rPr>
                        <w:t xml:space="preserve"> accepted that the political/logistical impact on project</w:t>
                      </w:r>
                      <w:r w:rsidRPr="001E1F07" w:rsidR="001E1F07">
                        <w:rPr>
                          <w:sz w:val="16"/>
                          <w:szCs w:val="16"/>
                        </w:rPr>
                        <w:t xml:space="preserve"> delivery will need to be managed.  Mitigation </w:t>
                      </w:r>
                      <w:r w:rsidR="00376F1E">
                        <w:rPr>
                          <w:sz w:val="16"/>
                          <w:szCs w:val="16"/>
                        </w:rPr>
                        <w:t xml:space="preserve">measures have not yet </w:t>
                      </w:r>
                      <w:r w:rsidRPr="001E1F07" w:rsidR="001E1F07">
                        <w:rPr>
                          <w:sz w:val="16"/>
                          <w:szCs w:val="16"/>
                        </w:rPr>
                        <w:t>been implemented.</w:t>
                      </w:r>
                      <w:r w:rsidR="00376F1E">
                        <w:rPr>
                          <w:sz w:val="16"/>
                          <w:szCs w:val="16"/>
                        </w:rPr>
                        <w:t xml:space="preserve"> When agreed they should be outlined in issues log with the appropriate issue owner.</w:t>
                      </w:r>
                    </w:p>
                  </w:txbxContent>
                </v:textbox>
              </v:shape>
            </w:pict>
          </mc:Fallback>
        </mc:AlternateContent>
      </w:r>
      <w:r w:rsidR="003863BC">
        <w:rPr>
          <w:noProof/>
          <w:lang w:eastAsia="en-GB"/>
        </w:rPr>
        <mc:AlternateContent>
          <mc:Choice Requires="wps">
            <w:drawing>
              <wp:anchor distT="0" distB="0" distL="114300" distR="114300" simplePos="0" relativeHeight="251669504" behindDoc="0" locked="0" layoutInCell="1" allowOverlap="1">
                <wp:simplePos x="0" y="0"/>
                <wp:positionH relativeFrom="column">
                  <wp:posOffset>-164758</wp:posOffset>
                </wp:positionH>
                <wp:positionV relativeFrom="paragraph">
                  <wp:posOffset>6280932</wp:posOffset>
                </wp:positionV>
                <wp:extent cx="5671185" cy="1960684"/>
                <wp:effectExtent l="0" t="0" r="24765" b="20955"/>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wps:spPr>
                        <a:xfrm>
                          <a:off x="0" y="0"/>
                          <a:ext cx="5671185" cy="19606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25DB" w:rsidRPr="00FE7578" w:rsidP="000979DB">
                            <w:pPr>
                              <w:rPr>
                                <w:b/>
                                <w:color w:val="5B9BD5" w:themeColor="accent1"/>
                                <w:sz w:val="18"/>
                                <w:szCs w:val="18"/>
                              </w:rPr>
                            </w:pPr>
                            <w:r>
                              <w:rPr>
                                <w:b/>
                                <w:color w:val="5B9BD5" w:themeColor="accent1"/>
                              </w:rPr>
                              <w:t>££££ City Deal investment – other</w:t>
                            </w:r>
                            <w:r w:rsidR="00F11542">
                              <w:rPr>
                                <w:b/>
                                <w:color w:val="5B9BD5" w:themeColor="accent1"/>
                              </w:rPr>
                              <w:t xml:space="preserve"> </w:t>
                            </w:r>
                            <w:r w:rsidR="00376F1E">
                              <w:rPr>
                                <w:b/>
                                <w:color w:val="5B9BD5" w:themeColor="accent1"/>
                              </w:rPr>
                              <w:t xml:space="preserve">emerging </w:t>
                            </w:r>
                            <w:r w:rsidR="00FE7578">
                              <w:rPr>
                                <w:b/>
                                <w:color w:val="5B9BD5" w:themeColor="accent1"/>
                              </w:rPr>
                              <w:t>infrastructure</w:t>
                            </w:r>
                            <w:r>
                              <w:rPr>
                                <w:b/>
                                <w:color w:val="5B9BD5" w:themeColor="accent1"/>
                              </w:rPr>
                              <w:t xml:space="preserve"> schemes</w:t>
                            </w:r>
                            <w:r w:rsidR="003863BC">
                              <w:rPr>
                                <w:b/>
                                <w:color w:val="5B9BD5" w:themeColor="accent1"/>
                              </w:rPr>
                              <w:t xml:space="preserve"> - </w:t>
                            </w:r>
                            <w:r w:rsidRPr="00FE7578">
                              <w:rPr>
                                <w:b/>
                                <w:color w:val="5B9BD5" w:themeColor="accent1"/>
                                <w:sz w:val="18"/>
                                <w:szCs w:val="18"/>
                              </w:rPr>
                              <w:t xml:space="preserve">There are a number of infrastructure schemes that if delivered will bring investment into the City </w:t>
                            </w:r>
                            <w:r w:rsidR="002774DF">
                              <w:rPr>
                                <w:b/>
                                <w:color w:val="5B9BD5" w:themeColor="accent1"/>
                                <w:sz w:val="18"/>
                                <w:szCs w:val="18"/>
                              </w:rPr>
                              <w:t xml:space="preserve">Deal </w:t>
                            </w:r>
                            <w:r w:rsidRPr="00FE7578">
                              <w:rPr>
                                <w:b/>
                                <w:color w:val="5B9BD5" w:themeColor="accent1"/>
                                <w:sz w:val="18"/>
                                <w:szCs w:val="18"/>
                              </w:rPr>
                              <w:t xml:space="preserve">area.  </w:t>
                            </w:r>
                            <w:r w:rsidRPr="00FE7578" w:rsidR="00500504">
                              <w:rPr>
                                <w:b/>
                                <w:color w:val="5B9BD5" w:themeColor="accent1"/>
                                <w:sz w:val="18"/>
                                <w:szCs w:val="18"/>
                              </w:rPr>
                              <w:t xml:space="preserve">These are </w:t>
                            </w:r>
                            <w:r w:rsidRPr="00FE7578" w:rsidR="00376F1E">
                              <w:rPr>
                                <w:b/>
                                <w:color w:val="5B9BD5" w:themeColor="accent1"/>
                                <w:sz w:val="18"/>
                                <w:szCs w:val="18"/>
                              </w:rPr>
                              <w:t>emerging schemes</w:t>
                            </w:r>
                            <w:r w:rsidRPr="00FE7578" w:rsidR="00500504">
                              <w:rPr>
                                <w:b/>
                                <w:color w:val="5B9BD5" w:themeColor="accent1"/>
                                <w:sz w:val="18"/>
                                <w:szCs w:val="18"/>
                              </w:rPr>
                              <w:t xml:space="preserve"> that </w:t>
                            </w:r>
                            <w:r w:rsidRPr="00FE7578">
                              <w:rPr>
                                <w:b/>
                                <w:color w:val="5B9BD5" w:themeColor="accent1"/>
                                <w:sz w:val="18"/>
                                <w:szCs w:val="18"/>
                              </w:rPr>
                              <w:t xml:space="preserve">will be funded by and may be </w:t>
                            </w:r>
                            <w:r w:rsidR="00377C4A">
                              <w:rPr>
                                <w:b/>
                                <w:color w:val="5B9BD5" w:themeColor="accent1"/>
                                <w:sz w:val="18"/>
                                <w:szCs w:val="18"/>
                              </w:rPr>
                              <w:t>delivered by the private sector</w:t>
                            </w:r>
                            <w:r w:rsidRPr="00FE7578">
                              <w:rPr>
                                <w:b/>
                                <w:color w:val="5B9BD5" w:themeColor="accent1"/>
                                <w:sz w:val="18"/>
                                <w:szCs w:val="18"/>
                              </w:rPr>
                              <w:t xml:space="preserve">.  </w:t>
                            </w:r>
                            <w:r w:rsidR="00376F1E">
                              <w:rPr>
                                <w:b/>
                                <w:color w:val="5B9BD5" w:themeColor="accent1"/>
                                <w:sz w:val="18"/>
                                <w:szCs w:val="18"/>
                              </w:rPr>
                              <w:t xml:space="preserve">City Deal </w:t>
                            </w:r>
                            <w:r w:rsidRPr="00FE7578" w:rsidR="00500504">
                              <w:rPr>
                                <w:b/>
                                <w:color w:val="5B9BD5" w:themeColor="accent1"/>
                                <w:sz w:val="18"/>
                                <w:szCs w:val="18"/>
                              </w:rPr>
                              <w:t xml:space="preserve">Officers provide specialist </w:t>
                            </w:r>
                            <w:r w:rsidRPr="00FE7578">
                              <w:rPr>
                                <w:b/>
                                <w:color w:val="5B9BD5" w:themeColor="accent1"/>
                                <w:sz w:val="18"/>
                                <w:szCs w:val="18"/>
                              </w:rPr>
                              <w:t>advice and support where possible to progress the schemes.  Schemes are:</w:t>
                            </w:r>
                          </w:p>
                          <w:p w:rsidR="00F634C8" w:rsidP="000979DB">
                            <w:pPr>
                              <w:rPr>
                                <w:rFonts w:cs="Arial"/>
                                <w:sz w:val="18"/>
                                <w:szCs w:val="18"/>
                              </w:rPr>
                            </w:pPr>
                            <w:r>
                              <w:rPr>
                                <w:b/>
                                <w:color w:val="5B9BD5" w:themeColor="accent1"/>
                              </w:rPr>
                              <w:t>M</w:t>
                            </w:r>
                            <w:r w:rsidRPr="00A20199" w:rsidR="0027397B">
                              <w:rPr>
                                <w:b/>
                                <w:color w:val="5B9BD5" w:themeColor="accent1"/>
                              </w:rPr>
                              <w:t>oss Side Test Track Road Infrastructure</w:t>
                            </w:r>
                            <w:r w:rsidRPr="00A20199" w:rsidR="0027397B">
                              <w:rPr>
                                <w:color w:val="5B9BD5" w:themeColor="accent1"/>
                              </w:rPr>
                              <w:t xml:space="preserve"> </w:t>
                            </w:r>
                            <w:r w:rsidRPr="001A0CBB" w:rsidR="0027397B">
                              <w:t>–</w:t>
                            </w:r>
                            <w:r w:rsidR="00377C4A">
                              <w:rPr>
                                <w:rFonts w:cs="Arial"/>
                                <w:sz w:val="18"/>
                                <w:szCs w:val="18"/>
                              </w:rPr>
                              <w:t xml:space="preserve">The planning application for this site and associated highway works was originally anticipated to reach committee in September.  </w:t>
                            </w:r>
                            <w:r w:rsidR="00C525DB">
                              <w:rPr>
                                <w:rFonts w:cs="Arial"/>
                                <w:sz w:val="18"/>
                                <w:szCs w:val="18"/>
                              </w:rPr>
                              <w:t xml:space="preserve"> The </w:t>
                            </w:r>
                            <w:r w:rsidR="00377C4A">
                              <w:rPr>
                                <w:rFonts w:cs="Arial"/>
                                <w:sz w:val="18"/>
                                <w:szCs w:val="18"/>
                              </w:rPr>
                              <w:t xml:space="preserve">highways modelling work has now been submitted to the </w:t>
                            </w:r>
                            <w:r w:rsidR="00C525DB">
                              <w:rPr>
                                <w:rFonts w:cs="Arial"/>
                                <w:sz w:val="18"/>
                                <w:szCs w:val="18"/>
                              </w:rPr>
                              <w:t>developer</w:t>
                            </w:r>
                            <w:r w:rsidR="00377C4A">
                              <w:rPr>
                                <w:rFonts w:cs="Arial"/>
                                <w:sz w:val="18"/>
                                <w:szCs w:val="18"/>
                              </w:rPr>
                              <w:t xml:space="preserve"> who is now</w:t>
                            </w:r>
                            <w:r w:rsidR="00C525DB">
                              <w:rPr>
                                <w:rFonts w:cs="Arial"/>
                                <w:sz w:val="18"/>
                                <w:szCs w:val="18"/>
                              </w:rPr>
                              <w:t xml:space="preserve"> </w:t>
                            </w:r>
                            <w:r w:rsidR="00377C4A">
                              <w:rPr>
                                <w:rFonts w:cs="Arial"/>
                                <w:sz w:val="18"/>
                                <w:szCs w:val="18"/>
                              </w:rPr>
                              <w:t xml:space="preserve">considering this.  Submission now anticipated in January. </w:t>
                            </w:r>
                            <w:r>
                              <w:rPr>
                                <w:rFonts w:cs="Arial"/>
                                <w:sz w:val="18"/>
                                <w:szCs w:val="18"/>
                              </w:rPr>
                              <w:t xml:space="preserve">The Development sites delivery group continue to </w:t>
                            </w:r>
                            <w:r w:rsidRPr="00F634C8" w:rsidR="005D2799">
                              <w:rPr>
                                <w:rFonts w:cs="Arial"/>
                                <w:sz w:val="18"/>
                                <w:szCs w:val="18"/>
                              </w:rPr>
                              <w:t xml:space="preserve">work </w:t>
                            </w:r>
                            <w:r w:rsidR="002774DF">
                              <w:rPr>
                                <w:rFonts w:cs="Arial"/>
                                <w:sz w:val="18"/>
                                <w:szCs w:val="18"/>
                              </w:rPr>
                              <w:t>to</w:t>
                            </w:r>
                            <w:r w:rsidRPr="00F634C8" w:rsidR="005D2799">
                              <w:rPr>
                                <w:rFonts w:cs="Arial"/>
                                <w:sz w:val="18"/>
                                <w:szCs w:val="18"/>
                              </w:rPr>
                              <w:t xml:space="preserve"> </w:t>
                            </w:r>
                            <w:r w:rsidRPr="00F634C8">
                              <w:rPr>
                                <w:rFonts w:cs="Arial"/>
                                <w:sz w:val="18"/>
                                <w:szCs w:val="18"/>
                              </w:rPr>
                              <w:t>progress this</w:t>
                            </w:r>
                            <w:r w:rsidRPr="00F634C8" w:rsidR="008B7FBF">
                              <w:rPr>
                                <w:rFonts w:cs="Arial"/>
                                <w:sz w:val="18"/>
                                <w:szCs w:val="18"/>
                              </w:rPr>
                              <w:t xml:space="preserve"> scheme.</w:t>
                            </w:r>
                          </w:p>
                          <w:p w:rsidR="003332D6" w:rsidRPr="003332D6" w:rsidP="003332D6">
                            <w:pPr>
                              <w:rPr>
                                <w:color w:val="FF0000"/>
                                <w:sz w:val="18"/>
                                <w:szCs w:val="18"/>
                              </w:rPr>
                            </w:pPr>
                            <w:r w:rsidRPr="00695022">
                              <w:rPr>
                                <w:rFonts w:cs="Arial"/>
                                <w:sz w:val="18"/>
                                <w:szCs w:val="18"/>
                              </w:rPr>
                              <w:t xml:space="preserve"> </w:t>
                            </w:r>
                            <w:r w:rsidRPr="00A20199" w:rsidR="00377C4A">
                              <w:rPr>
                                <w:b/>
                                <w:color w:val="5B9BD5" w:themeColor="accent1"/>
                              </w:rPr>
                              <w:t>Pickering's</w:t>
                            </w:r>
                            <w:r w:rsidRPr="00A20199">
                              <w:rPr>
                                <w:b/>
                                <w:color w:val="5B9BD5" w:themeColor="accent1"/>
                              </w:rPr>
                              <w:t xml:space="preserve"> Farm Link Road</w:t>
                            </w:r>
                            <w:r w:rsidRPr="00A20199">
                              <w:rPr>
                                <w:color w:val="5B9BD5" w:themeColor="accent1"/>
                              </w:rPr>
                              <w:t xml:space="preserve"> </w:t>
                            </w:r>
                            <w:r>
                              <w:t xml:space="preserve">–  </w:t>
                            </w:r>
                            <w:r w:rsidR="001E1F07">
                              <w:t xml:space="preserve"> </w:t>
                            </w:r>
                            <w:r w:rsidRPr="003332D6">
                              <w:rPr>
                                <w:sz w:val="18"/>
                                <w:szCs w:val="18"/>
                              </w:rPr>
                              <w:t xml:space="preserve">A </w:t>
                            </w:r>
                            <w:r w:rsidR="00C525DB">
                              <w:rPr>
                                <w:sz w:val="18"/>
                                <w:szCs w:val="18"/>
                              </w:rPr>
                              <w:t xml:space="preserve">draft </w:t>
                            </w:r>
                            <w:r w:rsidRPr="003332D6">
                              <w:rPr>
                                <w:sz w:val="18"/>
                                <w:szCs w:val="18"/>
                              </w:rPr>
                              <w:t xml:space="preserve">masterplan </w:t>
                            </w:r>
                            <w:r w:rsidR="00117B0B">
                              <w:rPr>
                                <w:sz w:val="18"/>
                                <w:szCs w:val="18"/>
                              </w:rPr>
                              <w:t xml:space="preserve">has </w:t>
                            </w:r>
                            <w:r w:rsidR="00117B0B">
                              <w:rPr>
                                <w:sz w:val="18"/>
                                <w:szCs w:val="18"/>
                              </w:rPr>
                              <w:t>been</w:t>
                            </w:r>
                            <w:bookmarkStart w:id="0" w:name="_GoBack"/>
                            <w:bookmarkEnd w:id="0"/>
                            <w:r w:rsidR="00C525DB">
                              <w:rPr>
                                <w:sz w:val="18"/>
                                <w:szCs w:val="18"/>
                              </w:rPr>
                              <w:t xml:space="preserve"> </w:t>
                            </w:r>
                            <w:r w:rsidR="00377C4A">
                              <w:rPr>
                                <w:sz w:val="18"/>
                                <w:szCs w:val="18"/>
                              </w:rPr>
                              <w:t>prepared</w:t>
                            </w:r>
                            <w:r w:rsidR="00C525DB">
                              <w:rPr>
                                <w:sz w:val="18"/>
                                <w:szCs w:val="18"/>
                              </w:rPr>
                              <w:t xml:space="preserve"> for the </w:t>
                            </w:r>
                            <w:r w:rsidRPr="003332D6" w:rsidR="00377C4A">
                              <w:rPr>
                                <w:sz w:val="18"/>
                                <w:szCs w:val="18"/>
                              </w:rPr>
                              <w:t>Pickering's</w:t>
                            </w:r>
                            <w:r w:rsidRPr="003332D6">
                              <w:rPr>
                                <w:sz w:val="18"/>
                                <w:szCs w:val="18"/>
                              </w:rPr>
                              <w:t xml:space="preserve"> Farm site.  </w:t>
                            </w:r>
                            <w:r w:rsidR="00C525DB">
                              <w:rPr>
                                <w:sz w:val="18"/>
                                <w:szCs w:val="18"/>
                              </w:rPr>
                              <w:t>Officers from Homes England, South Ribble and LCC continue to support a s</w:t>
                            </w:r>
                            <w:r w:rsidRPr="003332D6">
                              <w:rPr>
                                <w:sz w:val="18"/>
                                <w:szCs w:val="18"/>
                              </w:rPr>
                              <w:t xml:space="preserve">teering group </w:t>
                            </w:r>
                            <w:r w:rsidR="00C525DB">
                              <w:rPr>
                                <w:sz w:val="18"/>
                                <w:szCs w:val="18"/>
                              </w:rPr>
                              <w:t>to progress this work</w:t>
                            </w:r>
                            <w:r w:rsidRPr="003332D6">
                              <w:rPr>
                                <w:sz w:val="18"/>
                                <w:szCs w:val="18"/>
                              </w:rPr>
                              <w:t>.</w:t>
                            </w:r>
                          </w:p>
                          <w:p w:rsidR="00695022" w:rsidRPr="00B2682A" w:rsidP="00695022">
                            <w:pPr>
                              <w:rPr>
                                <w:rFonts w:cs="Arial"/>
                                <w:color w:val="FF0000"/>
                                <w:sz w:val="18"/>
                                <w:szCs w:val="18"/>
                              </w:rPr>
                            </w:pPr>
                          </w:p>
                          <w:p w:rsidR="00461BB9"/>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width:446.55pt;height:154.4pt;margin-top:494.55pt;margin-left:-12.95pt;mso-height-percent:0;mso-height-relative:margin;mso-width-percent:0;mso-width-relative:margin;mso-wrap-distance-bottom:0;mso-wrap-distance-left:9pt;mso-wrap-distance-right:9pt;mso-wrap-distance-top:0;mso-wrap-style:square;position:absolute;visibility:visible;v-text-anchor:top;z-index:251670528" fillcolor="white" strokeweight="0.5pt">
                <v:textbox>
                  <w:txbxContent>
                    <w:p w:rsidR="00C525DB" w:rsidRPr="00FE7578" w:rsidP="000979DB">
                      <w:pPr>
                        <w:rPr>
                          <w:b/>
                          <w:color w:val="5B9BD5" w:themeColor="accent1"/>
                          <w:sz w:val="18"/>
                          <w:szCs w:val="18"/>
                        </w:rPr>
                      </w:pPr>
                      <w:r>
                        <w:rPr>
                          <w:b/>
                          <w:color w:val="5B9BD5" w:themeColor="accent1"/>
                        </w:rPr>
                        <w:t>££££ City Deal investment – other</w:t>
                      </w:r>
                      <w:r w:rsidR="00F11542">
                        <w:rPr>
                          <w:b/>
                          <w:color w:val="5B9BD5" w:themeColor="accent1"/>
                        </w:rPr>
                        <w:t xml:space="preserve"> </w:t>
                      </w:r>
                      <w:r w:rsidR="00376F1E">
                        <w:rPr>
                          <w:b/>
                          <w:color w:val="5B9BD5" w:themeColor="accent1"/>
                        </w:rPr>
                        <w:t xml:space="preserve">emerging </w:t>
                      </w:r>
                      <w:r w:rsidR="00FE7578">
                        <w:rPr>
                          <w:b/>
                          <w:color w:val="5B9BD5" w:themeColor="accent1"/>
                        </w:rPr>
                        <w:t>infrastructure</w:t>
                      </w:r>
                      <w:r>
                        <w:rPr>
                          <w:b/>
                          <w:color w:val="5B9BD5" w:themeColor="accent1"/>
                        </w:rPr>
                        <w:t xml:space="preserve"> schemes</w:t>
                      </w:r>
                      <w:r w:rsidR="003863BC">
                        <w:rPr>
                          <w:b/>
                          <w:color w:val="5B9BD5" w:themeColor="accent1"/>
                        </w:rPr>
                        <w:t xml:space="preserve"> - </w:t>
                      </w:r>
                      <w:r w:rsidRPr="00FE7578">
                        <w:rPr>
                          <w:b/>
                          <w:color w:val="5B9BD5" w:themeColor="accent1"/>
                          <w:sz w:val="18"/>
                          <w:szCs w:val="18"/>
                        </w:rPr>
                        <w:t xml:space="preserve">There are a number of infrastructure schemes that if delivered will bring investment into the City </w:t>
                      </w:r>
                      <w:r w:rsidR="002774DF">
                        <w:rPr>
                          <w:b/>
                          <w:color w:val="5B9BD5" w:themeColor="accent1"/>
                          <w:sz w:val="18"/>
                          <w:szCs w:val="18"/>
                        </w:rPr>
                        <w:t xml:space="preserve">Deal </w:t>
                      </w:r>
                      <w:r w:rsidRPr="00FE7578">
                        <w:rPr>
                          <w:b/>
                          <w:color w:val="5B9BD5" w:themeColor="accent1"/>
                          <w:sz w:val="18"/>
                          <w:szCs w:val="18"/>
                        </w:rPr>
                        <w:t xml:space="preserve">area.  </w:t>
                      </w:r>
                      <w:r w:rsidRPr="00FE7578" w:rsidR="00500504">
                        <w:rPr>
                          <w:b/>
                          <w:color w:val="5B9BD5" w:themeColor="accent1"/>
                          <w:sz w:val="18"/>
                          <w:szCs w:val="18"/>
                        </w:rPr>
                        <w:t xml:space="preserve">These are </w:t>
                      </w:r>
                      <w:r w:rsidRPr="00FE7578" w:rsidR="00376F1E">
                        <w:rPr>
                          <w:b/>
                          <w:color w:val="5B9BD5" w:themeColor="accent1"/>
                          <w:sz w:val="18"/>
                          <w:szCs w:val="18"/>
                        </w:rPr>
                        <w:t>emerging schemes</w:t>
                      </w:r>
                      <w:r w:rsidRPr="00FE7578" w:rsidR="00500504">
                        <w:rPr>
                          <w:b/>
                          <w:color w:val="5B9BD5" w:themeColor="accent1"/>
                          <w:sz w:val="18"/>
                          <w:szCs w:val="18"/>
                        </w:rPr>
                        <w:t xml:space="preserve"> that </w:t>
                      </w:r>
                      <w:r w:rsidRPr="00FE7578">
                        <w:rPr>
                          <w:b/>
                          <w:color w:val="5B9BD5" w:themeColor="accent1"/>
                          <w:sz w:val="18"/>
                          <w:szCs w:val="18"/>
                        </w:rPr>
                        <w:t xml:space="preserve">will be funded by and may be </w:t>
                      </w:r>
                      <w:r w:rsidR="00377C4A">
                        <w:rPr>
                          <w:b/>
                          <w:color w:val="5B9BD5" w:themeColor="accent1"/>
                          <w:sz w:val="18"/>
                          <w:szCs w:val="18"/>
                        </w:rPr>
                        <w:t>delivered by the private sector</w:t>
                      </w:r>
                      <w:r w:rsidRPr="00FE7578">
                        <w:rPr>
                          <w:b/>
                          <w:color w:val="5B9BD5" w:themeColor="accent1"/>
                          <w:sz w:val="18"/>
                          <w:szCs w:val="18"/>
                        </w:rPr>
                        <w:t xml:space="preserve">.  </w:t>
                      </w:r>
                      <w:r w:rsidR="00376F1E">
                        <w:rPr>
                          <w:b/>
                          <w:color w:val="5B9BD5" w:themeColor="accent1"/>
                          <w:sz w:val="18"/>
                          <w:szCs w:val="18"/>
                        </w:rPr>
                        <w:t xml:space="preserve">City Deal </w:t>
                      </w:r>
                      <w:r w:rsidRPr="00FE7578" w:rsidR="00500504">
                        <w:rPr>
                          <w:b/>
                          <w:color w:val="5B9BD5" w:themeColor="accent1"/>
                          <w:sz w:val="18"/>
                          <w:szCs w:val="18"/>
                        </w:rPr>
                        <w:t xml:space="preserve">Officers provide specialist </w:t>
                      </w:r>
                      <w:r w:rsidRPr="00FE7578">
                        <w:rPr>
                          <w:b/>
                          <w:color w:val="5B9BD5" w:themeColor="accent1"/>
                          <w:sz w:val="18"/>
                          <w:szCs w:val="18"/>
                        </w:rPr>
                        <w:t>advice and support where possible to progress the schemes.  Schemes are:</w:t>
                      </w:r>
                    </w:p>
                    <w:p w:rsidR="00F634C8" w:rsidP="000979DB">
                      <w:pPr>
                        <w:rPr>
                          <w:rFonts w:cs="Arial"/>
                          <w:sz w:val="18"/>
                          <w:szCs w:val="18"/>
                        </w:rPr>
                      </w:pPr>
                      <w:r>
                        <w:rPr>
                          <w:b/>
                          <w:color w:val="5B9BD5" w:themeColor="accent1"/>
                        </w:rPr>
                        <w:t>M</w:t>
                      </w:r>
                      <w:r w:rsidRPr="00A20199" w:rsidR="0027397B">
                        <w:rPr>
                          <w:b/>
                          <w:color w:val="5B9BD5" w:themeColor="accent1"/>
                        </w:rPr>
                        <w:t>oss Side Test Track Road Infrastructure</w:t>
                      </w:r>
                      <w:r w:rsidRPr="00A20199" w:rsidR="0027397B">
                        <w:rPr>
                          <w:color w:val="5B9BD5" w:themeColor="accent1"/>
                        </w:rPr>
                        <w:t xml:space="preserve"> </w:t>
                      </w:r>
                      <w:r w:rsidRPr="001A0CBB" w:rsidR="0027397B">
                        <w:t>–</w:t>
                      </w:r>
                      <w:r w:rsidR="00377C4A">
                        <w:rPr>
                          <w:rFonts w:cs="Arial"/>
                          <w:sz w:val="18"/>
                          <w:szCs w:val="18"/>
                        </w:rPr>
                        <w:t xml:space="preserve">The planning application for this site and associated highway works was originally anticipated to reach committee in September.  </w:t>
                      </w:r>
                      <w:r w:rsidR="00C525DB">
                        <w:rPr>
                          <w:rFonts w:cs="Arial"/>
                          <w:sz w:val="18"/>
                          <w:szCs w:val="18"/>
                        </w:rPr>
                        <w:t xml:space="preserve"> The </w:t>
                      </w:r>
                      <w:r w:rsidR="00377C4A">
                        <w:rPr>
                          <w:rFonts w:cs="Arial"/>
                          <w:sz w:val="18"/>
                          <w:szCs w:val="18"/>
                        </w:rPr>
                        <w:t xml:space="preserve">highways modelling work has now been submitted to the </w:t>
                      </w:r>
                      <w:r w:rsidR="00C525DB">
                        <w:rPr>
                          <w:rFonts w:cs="Arial"/>
                          <w:sz w:val="18"/>
                          <w:szCs w:val="18"/>
                        </w:rPr>
                        <w:t>developer</w:t>
                      </w:r>
                      <w:r w:rsidR="00377C4A">
                        <w:rPr>
                          <w:rFonts w:cs="Arial"/>
                          <w:sz w:val="18"/>
                          <w:szCs w:val="18"/>
                        </w:rPr>
                        <w:t xml:space="preserve"> who is now</w:t>
                      </w:r>
                      <w:r w:rsidR="00C525DB">
                        <w:rPr>
                          <w:rFonts w:cs="Arial"/>
                          <w:sz w:val="18"/>
                          <w:szCs w:val="18"/>
                        </w:rPr>
                        <w:t xml:space="preserve"> </w:t>
                      </w:r>
                      <w:r w:rsidR="00377C4A">
                        <w:rPr>
                          <w:rFonts w:cs="Arial"/>
                          <w:sz w:val="18"/>
                          <w:szCs w:val="18"/>
                        </w:rPr>
                        <w:t xml:space="preserve">considering this.  Submission now anticipated in January. </w:t>
                      </w:r>
                      <w:r>
                        <w:rPr>
                          <w:rFonts w:cs="Arial"/>
                          <w:sz w:val="18"/>
                          <w:szCs w:val="18"/>
                        </w:rPr>
                        <w:t xml:space="preserve">The Development sites delivery group continue to </w:t>
                      </w:r>
                      <w:r w:rsidRPr="00F634C8" w:rsidR="005D2799">
                        <w:rPr>
                          <w:rFonts w:cs="Arial"/>
                          <w:sz w:val="18"/>
                          <w:szCs w:val="18"/>
                        </w:rPr>
                        <w:t xml:space="preserve">work </w:t>
                      </w:r>
                      <w:r w:rsidR="002774DF">
                        <w:rPr>
                          <w:rFonts w:cs="Arial"/>
                          <w:sz w:val="18"/>
                          <w:szCs w:val="18"/>
                        </w:rPr>
                        <w:t>to</w:t>
                      </w:r>
                      <w:r w:rsidRPr="00F634C8" w:rsidR="005D2799">
                        <w:rPr>
                          <w:rFonts w:cs="Arial"/>
                          <w:sz w:val="18"/>
                          <w:szCs w:val="18"/>
                        </w:rPr>
                        <w:t xml:space="preserve"> </w:t>
                      </w:r>
                      <w:r w:rsidRPr="00F634C8">
                        <w:rPr>
                          <w:rFonts w:cs="Arial"/>
                          <w:sz w:val="18"/>
                          <w:szCs w:val="18"/>
                        </w:rPr>
                        <w:t>progress this</w:t>
                      </w:r>
                      <w:r w:rsidRPr="00F634C8" w:rsidR="008B7FBF">
                        <w:rPr>
                          <w:rFonts w:cs="Arial"/>
                          <w:sz w:val="18"/>
                          <w:szCs w:val="18"/>
                        </w:rPr>
                        <w:t xml:space="preserve"> scheme.</w:t>
                      </w:r>
                    </w:p>
                    <w:p w:rsidR="003332D6" w:rsidRPr="003332D6" w:rsidP="003332D6">
                      <w:pPr>
                        <w:rPr>
                          <w:color w:val="FF0000"/>
                          <w:sz w:val="18"/>
                          <w:szCs w:val="18"/>
                        </w:rPr>
                      </w:pPr>
                      <w:r w:rsidRPr="00695022">
                        <w:rPr>
                          <w:rFonts w:cs="Arial"/>
                          <w:sz w:val="18"/>
                          <w:szCs w:val="18"/>
                        </w:rPr>
                        <w:t xml:space="preserve"> </w:t>
                      </w:r>
                      <w:r w:rsidRPr="00A20199" w:rsidR="00377C4A">
                        <w:rPr>
                          <w:b/>
                          <w:color w:val="5B9BD5" w:themeColor="accent1"/>
                        </w:rPr>
                        <w:t>Pickering's</w:t>
                      </w:r>
                      <w:r w:rsidRPr="00A20199">
                        <w:rPr>
                          <w:b/>
                          <w:color w:val="5B9BD5" w:themeColor="accent1"/>
                        </w:rPr>
                        <w:t xml:space="preserve"> Farm Link Road</w:t>
                      </w:r>
                      <w:r w:rsidRPr="00A20199">
                        <w:rPr>
                          <w:color w:val="5B9BD5" w:themeColor="accent1"/>
                        </w:rPr>
                        <w:t xml:space="preserve"> </w:t>
                      </w:r>
                      <w:r>
                        <w:t xml:space="preserve">–  </w:t>
                      </w:r>
                      <w:r w:rsidR="001E1F07">
                        <w:t xml:space="preserve"> </w:t>
                      </w:r>
                      <w:r w:rsidRPr="003332D6">
                        <w:rPr>
                          <w:sz w:val="18"/>
                          <w:szCs w:val="18"/>
                        </w:rPr>
                        <w:t xml:space="preserve">A </w:t>
                      </w:r>
                      <w:r w:rsidR="00C525DB">
                        <w:rPr>
                          <w:sz w:val="18"/>
                          <w:szCs w:val="18"/>
                        </w:rPr>
                        <w:t xml:space="preserve">draft </w:t>
                      </w:r>
                      <w:r w:rsidRPr="003332D6">
                        <w:rPr>
                          <w:sz w:val="18"/>
                          <w:szCs w:val="18"/>
                        </w:rPr>
                        <w:t xml:space="preserve">masterplan </w:t>
                      </w:r>
                      <w:r w:rsidR="00117B0B">
                        <w:rPr>
                          <w:sz w:val="18"/>
                          <w:szCs w:val="18"/>
                        </w:rPr>
                        <w:t xml:space="preserve">has </w:t>
                      </w:r>
                      <w:r w:rsidR="00117B0B">
                        <w:rPr>
                          <w:sz w:val="18"/>
                          <w:szCs w:val="18"/>
                        </w:rPr>
                        <w:t>been</w:t>
                      </w:r>
                      <w:r w:rsidR="00C525DB">
                        <w:rPr>
                          <w:sz w:val="18"/>
                          <w:szCs w:val="18"/>
                        </w:rPr>
                        <w:t xml:space="preserve"> </w:t>
                      </w:r>
                      <w:r w:rsidR="00377C4A">
                        <w:rPr>
                          <w:sz w:val="18"/>
                          <w:szCs w:val="18"/>
                        </w:rPr>
                        <w:t>prepared</w:t>
                      </w:r>
                      <w:r w:rsidR="00C525DB">
                        <w:rPr>
                          <w:sz w:val="18"/>
                          <w:szCs w:val="18"/>
                        </w:rPr>
                        <w:t xml:space="preserve"> for the </w:t>
                      </w:r>
                      <w:r w:rsidRPr="003332D6" w:rsidR="00377C4A">
                        <w:rPr>
                          <w:sz w:val="18"/>
                          <w:szCs w:val="18"/>
                        </w:rPr>
                        <w:t>Pickering's</w:t>
                      </w:r>
                      <w:r w:rsidRPr="003332D6">
                        <w:rPr>
                          <w:sz w:val="18"/>
                          <w:szCs w:val="18"/>
                        </w:rPr>
                        <w:t xml:space="preserve"> Farm site.  </w:t>
                      </w:r>
                      <w:r w:rsidR="00C525DB">
                        <w:rPr>
                          <w:sz w:val="18"/>
                          <w:szCs w:val="18"/>
                        </w:rPr>
                        <w:t>Officers from Homes England, South Ribble and LCC continue to support a s</w:t>
                      </w:r>
                      <w:r w:rsidRPr="003332D6">
                        <w:rPr>
                          <w:sz w:val="18"/>
                          <w:szCs w:val="18"/>
                        </w:rPr>
                        <w:t xml:space="preserve">teering group </w:t>
                      </w:r>
                      <w:r w:rsidR="00C525DB">
                        <w:rPr>
                          <w:sz w:val="18"/>
                          <w:szCs w:val="18"/>
                        </w:rPr>
                        <w:t>to progress this work</w:t>
                      </w:r>
                      <w:r w:rsidRPr="003332D6">
                        <w:rPr>
                          <w:sz w:val="18"/>
                          <w:szCs w:val="18"/>
                        </w:rPr>
                        <w:t>.</w:t>
                      </w:r>
                    </w:p>
                    <w:p w:rsidR="00695022" w:rsidRPr="00B2682A" w:rsidP="00695022">
                      <w:pPr>
                        <w:rPr>
                          <w:rFonts w:cs="Arial"/>
                          <w:color w:val="FF0000"/>
                          <w:sz w:val="18"/>
                          <w:szCs w:val="18"/>
                        </w:rPr>
                      </w:pPr>
                    </w:p>
                    <w:p w:rsidR="00461BB9"/>
                  </w:txbxContent>
                </v:textbox>
              </v:shape>
            </w:pict>
          </mc:Fallback>
        </mc:AlternateContent>
      </w:r>
      <w:r w:rsidR="001E1F07">
        <w:rPr>
          <w:noProof/>
          <w:lang w:eastAsia="en-GB"/>
        </w:rPr>
        <mc:AlternateContent>
          <mc:Choice Requires="wps">
            <w:drawing>
              <wp:anchor distT="0" distB="0" distL="114300" distR="114300" simplePos="0" relativeHeight="251662336" behindDoc="0" locked="0" layoutInCell="1" allowOverlap="1">
                <wp:simplePos x="0" y="0"/>
                <wp:positionH relativeFrom="column">
                  <wp:posOffset>-164758</wp:posOffset>
                </wp:positionH>
                <wp:positionV relativeFrom="paragraph">
                  <wp:posOffset>539555</wp:posOffset>
                </wp:positionV>
                <wp:extent cx="5671185" cy="5644661"/>
                <wp:effectExtent l="0" t="0" r="24765" b="13335"/>
                <wp:wrapNone/>
                <wp:docPr id="45" name="Rounded Rectangle 45"/>
                <wp:cNvGraphicFramePr/>
                <a:graphic xmlns:a="http://schemas.openxmlformats.org/drawingml/2006/main">
                  <a:graphicData uri="http://schemas.microsoft.com/office/word/2010/wordprocessingShape">
                    <wps:wsp xmlns:wps="http://schemas.microsoft.com/office/word/2010/wordprocessingShape">
                      <wps:cNvSpPr/>
                      <wps:spPr>
                        <a:xfrm>
                          <a:off x="0" y="0"/>
                          <a:ext cx="5671185" cy="5644661"/>
                        </a:xfrm>
                        <a:prstGeom prst="roundRect">
                          <a:avLst>
                            <a:gd name="adj" fmla="val 914"/>
                          </a:avLst>
                        </a:prstGeom>
                        <a:solidFill>
                          <a:sysClr val="window" lastClr="FFFFFF"/>
                        </a:solidFill>
                        <a:ln w="12700">
                          <a:solidFill>
                            <a:srgbClr val="5B9BD5"/>
                          </a:solidFill>
                          <a:miter lim="800000"/>
                        </a:ln>
                        <a:effectLst/>
                      </wps:spPr>
                      <wps:txbx>
                        <w:txbxContent>
                          <w:p w:rsidR="001D26E0" w:rsidRPr="00A20199" w:rsidP="000F648E">
                            <w:pPr>
                              <w:spacing w:after="0" w:line="240" w:lineRule="auto"/>
                              <w:jc w:val="both"/>
                              <w:rPr>
                                <w:b/>
                                <w:color w:val="5B9BD5" w:themeColor="accent1"/>
                                <w:sz w:val="20"/>
                                <w:szCs w:val="20"/>
                              </w:rPr>
                            </w:pPr>
                            <w:r w:rsidRPr="00A20199">
                              <w:rPr>
                                <w:b/>
                                <w:color w:val="5B9BD5" w:themeColor="accent1"/>
                                <w:sz w:val="20"/>
                                <w:szCs w:val="20"/>
                              </w:rPr>
                              <w:t xml:space="preserve">City Deal </w:t>
                            </w:r>
                            <w:r w:rsidRPr="00A20199" w:rsidR="00027A30">
                              <w:rPr>
                                <w:b/>
                                <w:color w:val="5B9BD5" w:themeColor="accent1"/>
                                <w:sz w:val="20"/>
                                <w:szCs w:val="20"/>
                              </w:rPr>
                              <w:t>infrastructure delivery</w:t>
                            </w:r>
                            <w:r w:rsidRPr="00A20199">
                              <w:rPr>
                                <w:b/>
                                <w:color w:val="5B9BD5" w:themeColor="accent1"/>
                                <w:sz w:val="20"/>
                                <w:szCs w:val="20"/>
                              </w:rPr>
                              <w:t xml:space="preserve"> – </w:t>
                            </w:r>
                            <w:r w:rsidRPr="00A20199" w:rsidR="00FF118C">
                              <w:rPr>
                                <w:b/>
                                <w:color w:val="5B9BD5" w:themeColor="accent1"/>
                                <w:sz w:val="20"/>
                                <w:szCs w:val="20"/>
                              </w:rPr>
                              <w:t xml:space="preserve">Overview of </w:t>
                            </w:r>
                            <w:r w:rsidRPr="00A20199">
                              <w:rPr>
                                <w:b/>
                                <w:color w:val="5B9BD5" w:themeColor="accent1"/>
                                <w:sz w:val="20"/>
                                <w:szCs w:val="20"/>
                              </w:rPr>
                              <w:t xml:space="preserve">progress against milestones </w:t>
                            </w:r>
                            <w:r w:rsidRPr="00A20199" w:rsidR="00627913">
                              <w:rPr>
                                <w:b/>
                                <w:color w:val="5B9BD5" w:themeColor="accent1"/>
                                <w:sz w:val="20"/>
                                <w:szCs w:val="20"/>
                              </w:rPr>
                              <w:t>for</w:t>
                            </w:r>
                            <w:r w:rsidRPr="00A20199" w:rsidR="00FF118C">
                              <w:rPr>
                                <w:b/>
                                <w:color w:val="5B9BD5" w:themeColor="accent1"/>
                                <w:sz w:val="20"/>
                                <w:szCs w:val="20"/>
                              </w:rPr>
                              <w:t xml:space="preserve"> </w:t>
                            </w:r>
                            <w:r w:rsidRPr="00A20199">
                              <w:rPr>
                                <w:b/>
                                <w:color w:val="5B9BD5" w:themeColor="accent1"/>
                                <w:sz w:val="20"/>
                                <w:szCs w:val="20"/>
                              </w:rPr>
                              <w:t xml:space="preserve">Quarter </w:t>
                            </w:r>
                            <w:r w:rsidR="00500504">
                              <w:rPr>
                                <w:b/>
                                <w:color w:val="5B9BD5" w:themeColor="accent1"/>
                                <w:sz w:val="20"/>
                                <w:szCs w:val="20"/>
                              </w:rPr>
                              <w:t>2</w:t>
                            </w:r>
                            <w:r w:rsidRPr="00A20199" w:rsidR="008A0ACC">
                              <w:rPr>
                                <w:b/>
                                <w:color w:val="5B9BD5" w:themeColor="accent1"/>
                                <w:sz w:val="20"/>
                                <w:szCs w:val="20"/>
                              </w:rPr>
                              <w:t xml:space="preserve"> – 2018/19</w:t>
                            </w:r>
                            <w:r w:rsidRPr="00A20199">
                              <w:rPr>
                                <w:b/>
                                <w:color w:val="5B9BD5" w:themeColor="accent1"/>
                                <w:sz w:val="20"/>
                                <w:szCs w:val="20"/>
                              </w:rPr>
                              <w:t xml:space="preserve"> </w:t>
                            </w:r>
                          </w:p>
                          <w:p w:rsidR="00FB12D8" w:rsidP="000F648E">
                            <w:pPr>
                              <w:spacing w:after="0" w:line="240" w:lineRule="auto"/>
                              <w:jc w:val="both"/>
                              <w:rPr>
                                <w:b/>
                                <w:color w:val="0099CC"/>
                              </w:rPr>
                            </w:pPr>
                          </w:p>
                          <w:tbl>
                            <w:tblPr>
                              <w:tblStyle w:val="TableGrid"/>
                              <w:tblW w:w="5000" w:type="pct"/>
                              <w:tblLayout w:type="fixed"/>
                              <w:tblLook w:val="04A0"/>
                            </w:tblPr>
                            <w:tblGrid>
                              <w:gridCol w:w="4406"/>
                              <w:gridCol w:w="711"/>
                              <w:gridCol w:w="1708"/>
                              <w:gridCol w:w="1788"/>
                            </w:tblGrid>
                            <w:tr w:rsidTr="009E49B3">
                              <w:tblPrEx>
                                <w:tblW w:w="5000" w:type="pct"/>
                                <w:tblLayout w:type="fixed"/>
                                <w:tblLook w:val="04A0"/>
                              </w:tblPrEx>
                              <w:tc>
                                <w:tcPr>
                                  <w:tcW w:w="4390" w:type="dxa"/>
                                </w:tcPr>
                                <w:p w:rsidR="00500504" w:rsidRPr="00E87974" w:rsidP="000F648E">
                                  <w:pPr>
                                    <w:jc w:val="both"/>
                                    <w:rPr>
                                      <w:b/>
                                      <w:sz w:val="16"/>
                                      <w:szCs w:val="16"/>
                                    </w:rPr>
                                  </w:pPr>
                                  <w:r w:rsidRPr="00E87974">
                                    <w:rPr>
                                      <w:b/>
                                      <w:sz w:val="16"/>
                                      <w:szCs w:val="16"/>
                                    </w:rPr>
                                    <w:t>Scheme name</w:t>
                                  </w:r>
                                </w:p>
                              </w:tc>
                              <w:tc>
                                <w:tcPr>
                                  <w:tcW w:w="708" w:type="dxa"/>
                                  <w:vAlign w:val="center"/>
                                </w:tcPr>
                                <w:p w:rsidR="00500504" w:rsidRPr="00E87974" w:rsidP="000F648E">
                                  <w:pPr>
                                    <w:jc w:val="both"/>
                                    <w:rPr>
                                      <w:b/>
                                      <w:sz w:val="16"/>
                                      <w:szCs w:val="16"/>
                                    </w:rPr>
                                  </w:pPr>
                                  <w:r>
                                    <w:rPr>
                                      <w:b/>
                                      <w:sz w:val="16"/>
                                      <w:szCs w:val="16"/>
                                    </w:rPr>
                                    <w:t>Project</w:t>
                                  </w:r>
                                  <w:r w:rsidRPr="00E87974">
                                    <w:rPr>
                                      <w:b/>
                                      <w:sz w:val="16"/>
                                      <w:szCs w:val="16"/>
                                    </w:rPr>
                                    <w:t xml:space="preserve"> RAG</w:t>
                                  </w:r>
                                </w:p>
                              </w:tc>
                              <w:tc>
                                <w:tcPr>
                                  <w:tcW w:w="1701" w:type="dxa"/>
                                </w:tcPr>
                                <w:p w:rsidR="00500504" w:rsidRPr="00E87974" w:rsidP="000F648E">
                                  <w:pPr>
                                    <w:jc w:val="both"/>
                                    <w:rPr>
                                      <w:b/>
                                      <w:sz w:val="16"/>
                                      <w:szCs w:val="16"/>
                                    </w:rPr>
                                  </w:pPr>
                                  <w:r w:rsidRPr="00E87974">
                                    <w:rPr>
                                      <w:b/>
                                      <w:sz w:val="16"/>
                                      <w:szCs w:val="16"/>
                                    </w:rPr>
                                    <w:t>Stage</w:t>
                                  </w:r>
                                </w:p>
                              </w:tc>
                              <w:tc>
                                <w:tcPr>
                                  <w:tcW w:w="1781" w:type="dxa"/>
                                </w:tcPr>
                                <w:p w:rsidR="00500504" w:rsidRPr="00E87974" w:rsidP="00FE7578">
                                  <w:pPr>
                                    <w:jc w:val="both"/>
                                    <w:rPr>
                                      <w:b/>
                                      <w:sz w:val="16"/>
                                      <w:szCs w:val="16"/>
                                    </w:rPr>
                                  </w:pPr>
                                  <w:r>
                                    <w:rPr>
                                      <w:b/>
                                      <w:sz w:val="16"/>
                                      <w:szCs w:val="16"/>
                                    </w:rPr>
                                    <w:t xml:space="preserve">Significant </w:t>
                                  </w:r>
                                  <w:r w:rsidR="009E49B3">
                                    <w:rPr>
                                      <w:b/>
                                      <w:sz w:val="16"/>
                                      <w:szCs w:val="16"/>
                                    </w:rPr>
                                    <w:t>Issues/</w:t>
                                  </w:r>
                                  <w:r w:rsidR="00FE7578">
                                    <w:rPr>
                                      <w:b/>
                                      <w:sz w:val="16"/>
                                      <w:szCs w:val="16"/>
                                    </w:rPr>
                                    <w:t>Risks</w:t>
                                  </w:r>
                                  <w:r>
                                    <w:rPr>
                                      <w:b/>
                                      <w:sz w:val="16"/>
                                      <w:szCs w:val="16"/>
                                    </w:rPr>
                                    <w:t>:</w:t>
                                  </w:r>
                                </w:p>
                              </w:tc>
                            </w:tr>
                            <w:tr w:rsidTr="009E49B3">
                              <w:tblPrEx>
                                <w:tblW w:w="5000" w:type="pct"/>
                                <w:tblLayout w:type="fixed"/>
                                <w:tblLook w:val="04A0"/>
                              </w:tblPrEx>
                              <w:tc>
                                <w:tcPr>
                                  <w:tcW w:w="4390" w:type="dxa"/>
                                  <w:shd w:val="clear" w:color="auto" w:fill="BDD6EE" w:themeFill="accent1" w:themeFillTint="66"/>
                                </w:tcPr>
                                <w:p w:rsidR="00500504" w:rsidRPr="00E87974" w:rsidP="000F648E">
                                  <w:pPr>
                                    <w:jc w:val="both"/>
                                    <w:rPr>
                                      <w:b/>
                                      <w:sz w:val="16"/>
                                      <w:szCs w:val="16"/>
                                    </w:rPr>
                                  </w:pPr>
                                  <w:r>
                                    <w:rPr>
                                      <w:b/>
                                      <w:sz w:val="16"/>
                                      <w:szCs w:val="16"/>
                                    </w:rPr>
                                    <w:t xml:space="preserve">City Deal </w:t>
                                  </w:r>
                                  <w:r w:rsidRPr="00E87974">
                                    <w:rPr>
                                      <w:b/>
                                      <w:sz w:val="16"/>
                                      <w:szCs w:val="16"/>
                                    </w:rPr>
                                    <w:t>Zone</w:t>
                                  </w:r>
                                  <w:r>
                                    <w:rPr>
                                      <w:b/>
                                      <w:sz w:val="16"/>
                                      <w:szCs w:val="16"/>
                                    </w:rPr>
                                    <w:t xml:space="preserve"> 1</w:t>
                                  </w:r>
                                  <w:r w:rsidRPr="00E87974">
                                    <w:rPr>
                                      <w:b/>
                                      <w:sz w:val="16"/>
                                      <w:szCs w:val="16"/>
                                    </w:rPr>
                                    <w:t>: North West Preston</w:t>
                                  </w:r>
                                </w:p>
                              </w:tc>
                              <w:tc>
                                <w:tcPr>
                                  <w:tcW w:w="708" w:type="dxa"/>
                                  <w:shd w:val="clear" w:color="auto" w:fill="BDD6EE" w:themeFill="accent1" w:themeFillTint="66"/>
                                  <w:vAlign w:val="center"/>
                                </w:tcPr>
                                <w:p w:rsidR="00500504" w:rsidRPr="00E87974" w:rsidP="000F648E">
                                  <w:pPr>
                                    <w:jc w:val="both"/>
                                    <w:rPr>
                                      <w:sz w:val="16"/>
                                      <w:szCs w:val="16"/>
                                    </w:rPr>
                                  </w:pPr>
                                </w:p>
                              </w:tc>
                              <w:tc>
                                <w:tcPr>
                                  <w:tcW w:w="1701" w:type="dxa"/>
                                  <w:shd w:val="clear" w:color="auto" w:fill="BDD6EE" w:themeFill="accent1" w:themeFillTint="66"/>
                                </w:tcPr>
                                <w:p w:rsidR="00500504" w:rsidRPr="00E87974" w:rsidP="000F648E">
                                  <w:pPr>
                                    <w:jc w:val="both"/>
                                    <w:rPr>
                                      <w:sz w:val="16"/>
                                      <w:szCs w:val="16"/>
                                    </w:rPr>
                                  </w:pPr>
                                </w:p>
                              </w:tc>
                              <w:tc>
                                <w:tcPr>
                                  <w:tcW w:w="1781" w:type="dxa"/>
                                  <w:shd w:val="clear" w:color="auto" w:fill="BDD6EE" w:themeFill="accent1" w:themeFillTint="66"/>
                                </w:tcPr>
                                <w:p w:rsidR="00500504" w:rsidRPr="00E87974" w:rsidP="000F648E">
                                  <w:pPr>
                                    <w:jc w:val="both"/>
                                    <w:rPr>
                                      <w:sz w:val="16"/>
                                      <w:szCs w:val="16"/>
                                    </w:rPr>
                                  </w:pPr>
                                </w:p>
                              </w:tc>
                            </w:tr>
                            <w:tr w:rsidTr="00DD1F54">
                              <w:tblPrEx>
                                <w:tblW w:w="5000" w:type="pct"/>
                                <w:tblLayout w:type="fixed"/>
                                <w:tblLook w:val="04A0"/>
                              </w:tblPrEx>
                              <w:tc>
                                <w:tcPr>
                                  <w:tcW w:w="4390" w:type="dxa"/>
                                </w:tcPr>
                                <w:p w:rsidR="00500504" w:rsidRPr="00E87974" w:rsidP="000F648E">
                                  <w:pPr>
                                    <w:jc w:val="both"/>
                                    <w:rPr>
                                      <w:sz w:val="16"/>
                                      <w:szCs w:val="16"/>
                                    </w:rPr>
                                  </w:pPr>
                                  <w:r w:rsidRPr="00E87974">
                                    <w:rPr>
                                      <w:sz w:val="16"/>
                                      <w:szCs w:val="16"/>
                                    </w:rPr>
                                    <w:t>Preston Western Distributor (PWD)</w:t>
                                  </w:r>
                                  <w:r>
                                    <w:rPr>
                                      <w:sz w:val="16"/>
                                      <w:szCs w:val="16"/>
                                    </w:rPr>
                                    <w:t>/East West Link Road</w:t>
                                  </w:r>
                                </w:p>
                              </w:tc>
                              <w:tc>
                                <w:tcPr>
                                  <w:tcW w:w="708" w:type="dxa"/>
                                  <w:shd w:val="clear" w:color="auto" w:fill="FFC000" w:themeFill="accent4"/>
                                  <w:vAlign w:val="center"/>
                                </w:tcPr>
                                <w:p w:rsidR="00500504" w:rsidRPr="00E87974" w:rsidP="000F648E">
                                  <w:pPr>
                                    <w:jc w:val="both"/>
                                    <w:rPr>
                                      <w:sz w:val="16"/>
                                      <w:szCs w:val="16"/>
                                    </w:rPr>
                                  </w:pPr>
                                </w:p>
                              </w:tc>
                              <w:tc>
                                <w:tcPr>
                                  <w:tcW w:w="1701" w:type="dxa"/>
                                </w:tcPr>
                                <w:p w:rsidR="00500504" w:rsidRPr="00E87974" w:rsidP="000F648E">
                                  <w:pPr>
                                    <w:jc w:val="both"/>
                                    <w:rPr>
                                      <w:sz w:val="16"/>
                                      <w:szCs w:val="16"/>
                                    </w:rPr>
                                  </w:pPr>
                                  <w:r>
                                    <w:rPr>
                                      <w:sz w:val="16"/>
                                      <w:szCs w:val="16"/>
                                    </w:rPr>
                                    <w:t>Design/planning/land assembly/funding CPO</w:t>
                                  </w:r>
                                </w:p>
                              </w:tc>
                              <w:tc>
                                <w:tcPr>
                                  <w:tcW w:w="1781" w:type="dxa"/>
                                </w:tcPr>
                                <w:p w:rsidR="00500504" w:rsidP="000F648E">
                                  <w:pPr>
                                    <w:jc w:val="both"/>
                                    <w:rPr>
                                      <w:sz w:val="16"/>
                                      <w:szCs w:val="16"/>
                                    </w:rPr>
                                  </w:pPr>
                                  <w:r>
                                    <w:rPr>
                                      <w:sz w:val="16"/>
                                      <w:szCs w:val="16"/>
                                    </w:rPr>
                                    <w:t>Land/funding/planning</w:t>
                                  </w:r>
                                </w:p>
                              </w:tc>
                            </w:tr>
                            <w:tr w:rsidTr="009E49B3">
                              <w:tblPrEx>
                                <w:tblW w:w="5000" w:type="pct"/>
                                <w:tblLayout w:type="fixed"/>
                                <w:tblLook w:val="04A0"/>
                              </w:tblPrEx>
                              <w:tc>
                                <w:tcPr>
                                  <w:tcW w:w="4390" w:type="dxa"/>
                                </w:tcPr>
                                <w:p w:rsidR="00500504" w:rsidRPr="00E87974" w:rsidP="007A3190">
                                  <w:pPr>
                                    <w:jc w:val="both"/>
                                    <w:rPr>
                                      <w:sz w:val="16"/>
                                      <w:szCs w:val="16"/>
                                    </w:rPr>
                                  </w:pPr>
                                  <w:r w:rsidRPr="00E87974">
                                    <w:rPr>
                                      <w:sz w:val="16"/>
                                      <w:szCs w:val="16"/>
                                    </w:rPr>
                                    <w:t xml:space="preserve">Cottam Parkway </w:t>
                                  </w:r>
                                  <w:r>
                                    <w:rPr>
                                      <w:sz w:val="16"/>
                                      <w:szCs w:val="16"/>
                                    </w:rPr>
                                    <w:t>(business case/grip 3)</w:t>
                                  </w:r>
                                </w:p>
                              </w:tc>
                              <w:tc>
                                <w:tcPr>
                                  <w:tcW w:w="708" w:type="dxa"/>
                                  <w:shd w:val="clear" w:color="auto" w:fill="70AD47" w:themeFill="accent6"/>
                                  <w:vAlign w:val="center"/>
                                </w:tcPr>
                                <w:p w:rsidR="00500504" w:rsidRPr="00E87974" w:rsidP="000F648E">
                                  <w:pPr>
                                    <w:jc w:val="both"/>
                                    <w:rPr>
                                      <w:sz w:val="16"/>
                                      <w:szCs w:val="16"/>
                                    </w:rPr>
                                  </w:pPr>
                                </w:p>
                              </w:tc>
                              <w:tc>
                                <w:tcPr>
                                  <w:tcW w:w="1701" w:type="dxa"/>
                                </w:tcPr>
                                <w:p w:rsidR="00500504" w:rsidRPr="00E87974" w:rsidP="000F648E">
                                  <w:pPr>
                                    <w:jc w:val="both"/>
                                    <w:rPr>
                                      <w:sz w:val="16"/>
                                      <w:szCs w:val="16"/>
                                    </w:rPr>
                                  </w:pPr>
                                  <w:r w:rsidRPr="00E87974">
                                    <w:rPr>
                                      <w:sz w:val="16"/>
                                      <w:szCs w:val="16"/>
                                    </w:rPr>
                                    <w:t>Business case</w:t>
                                  </w:r>
                                </w:p>
                              </w:tc>
                              <w:tc>
                                <w:tcPr>
                                  <w:tcW w:w="1781" w:type="dxa"/>
                                </w:tcPr>
                                <w:p w:rsidR="00500504" w:rsidRPr="00E87974" w:rsidP="000F648E">
                                  <w:pPr>
                                    <w:jc w:val="both"/>
                                    <w:rPr>
                                      <w:sz w:val="16"/>
                                      <w:szCs w:val="16"/>
                                    </w:rPr>
                                  </w:pPr>
                                </w:p>
                              </w:tc>
                            </w:tr>
                            <w:tr w:rsidTr="009E49B3">
                              <w:tblPrEx>
                                <w:tblW w:w="5000" w:type="pct"/>
                                <w:tblLayout w:type="fixed"/>
                                <w:tblLook w:val="04A0"/>
                              </w:tblPrEx>
                              <w:tc>
                                <w:tcPr>
                                  <w:tcW w:w="4390" w:type="dxa"/>
                                </w:tcPr>
                                <w:p w:rsidR="00500504" w:rsidRPr="008A0ACC" w:rsidP="00A2014F">
                                  <w:pPr>
                                    <w:jc w:val="both"/>
                                    <w:rPr>
                                      <w:sz w:val="16"/>
                                      <w:szCs w:val="16"/>
                                    </w:rPr>
                                  </w:pPr>
                                  <w:r w:rsidRPr="008A0ACC">
                                    <w:rPr>
                                      <w:sz w:val="16"/>
                                      <w:szCs w:val="16"/>
                                    </w:rPr>
                                    <w:t>Broughton/Fulwood (North of M55)</w:t>
                                  </w:r>
                                </w:p>
                              </w:tc>
                              <w:tc>
                                <w:tcPr>
                                  <w:tcW w:w="708" w:type="dxa"/>
                                  <w:shd w:val="clear" w:color="auto" w:fill="70AD47" w:themeFill="accent6"/>
                                </w:tcPr>
                                <w:p w:rsidR="00500504" w:rsidRPr="008A0ACC" w:rsidP="00A2014F">
                                  <w:pPr>
                                    <w:jc w:val="both"/>
                                    <w:rPr>
                                      <w:sz w:val="16"/>
                                      <w:szCs w:val="16"/>
                                    </w:rPr>
                                  </w:pPr>
                                </w:p>
                              </w:tc>
                              <w:tc>
                                <w:tcPr>
                                  <w:tcW w:w="1701" w:type="dxa"/>
                                </w:tcPr>
                                <w:p w:rsidR="00500504" w:rsidRPr="008A0ACC" w:rsidP="00A2014F">
                                  <w:pPr>
                                    <w:jc w:val="both"/>
                                    <w:rPr>
                                      <w:sz w:val="16"/>
                                      <w:szCs w:val="16"/>
                                    </w:rPr>
                                  </w:pPr>
                                  <w:r>
                                    <w:rPr>
                                      <w:sz w:val="16"/>
                                      <w:szCs w:val="16"/>
                                    </w:rPr>
                                    <w:t>Start on site</w:t>
                                  </w:r>
                                </w:p>
                              </w:tc>
                              <w:tc>
                                <w:tcPr>
                                  <w:tcW w:w="1781" w:type="dxa"/>
                                </w:tcPr>
                                <w:p w:rsidR="00500504" w:rsidP="00A2014F">
                                  <w:pPr>
                                    <w:jc w:val="both"/>
                                    <w:rPr>
                                      <w:sz w:val="16"/>
                                      <w:szCs w:val="16"/>
                                    </w:rPr>
                                  </w:pPr>
                                </w:p>
                              </w:tc>
                            </w:tr>
                            <w:tr w:rsidTr="006C4269">
                              <w:tblPrEx>
                                <w:tblW w:w="5000" w:type="pct"/>
                                <w:tblLayout w:type="fixed"/>
                                <w:tblLook w:val="04A0"/>
                              </w:tblPrEx>
                              <w:tc>
                                <w:tcPr>
                                  <w:tcW w:w="4390" w:type="dxa"/>
                                </w:tcPr>
                                <w:p w:rsidR="00500504" w:rsidRPr="008A0ACC" w:rsidP="00A2014F">
                                  <w:pPr>
                                    <w:jc w:val="both"/>
                                    <w:rPr>
                                      <w:sz w:val="16"/>
                                      <w:szCs w:val="16"/>
                                    </w:rPr>
                                  </w:pPr>
                                  <w:r w:rsidRPr="008A0ACC">
                                    <w:rPr>
                                      <w:sz w:val="16"/>
                                      <w:szCs w:val="16"/>
                                    </w:rPr>
                                    <w:t>Guild Wheel Upgrade Link – P1 Bluebell Way</w:t>
                                  </w:r>
                                </w:p>
                              </w:tc>
                              <w:tc>
                                <w:tcPr>
                                  <w:tcW w:w="708" w:type="dxa"/>
                                  <w:shd w:val="clear" w:color="auto" w:fill="FF0000"/>
                                </w:tcPr>
                                <w:p w:rsidR="00500504" w:rsidRPr="008A0ACC" w:rsidP="00A2014F">
                                  <w:pPr>
                                    <w:jc w:val="both"/>
                                    <w:rPr>
                                      <w:sz w:val="16"/>
                                      <w:szCs w:val="16"/>
                                    </w:rPr>
                                  </w:pPr>
                                </w:p>
                              </w:tc>
                              <w:tc>
                                <w:tcPr>
                                  <w:tcW w:w="1701" w:type="dxa"/>
                                </w:tcPr>
                                <w:p w:rsidR="00500504" w:rsidRPr="008A0ACC" w:rsidP="00A2014F">
                                  <w:pPr>
                                    <w:jc w:val="both"/>
                                    <w:rPr>
                                      <w:sz w:val="16"/>
                                      <w:szCs w:val="16"/>
                                    </w:rPr>
                                  </w:pPr>
                                  <w:r>
                                    <w:rPr>
                                      <w:sz w:val="16"/>
                                      <w:szCs w:val="16"/>
                                    </w:rPr>
                                    <w:t>D</w:t>
                                  </w:r>
                                  <w:r>
                                    <w:rPr>
                                      <w:sz w:val="16"/>
                                      <w:szCs w:val="16"/>
                                    </w:rPr>
                                    <w:t>esign</w:t>
                                  </w:r>
                                </w:p>
                              </w:tc>
                              <w:tc>
                                <w:tcPr>
                                  <w:tcW w:w="1781" w:type="dxa"/>
                                </w:tcPr>
                                <w:p w:rsidR="00500504" w:rsidP="00DD1F54">
                                  <w:pPr>
                                    <w:jc w:val="both"/>
                                    <w:rPr>
                                      <w:sz w:val="16"/>
                                      <w:szCs w:val="16"/>
                                    </w:rPr>
                                  </w:pPr>
                                  <w:r>
                                    <w:rPr>
                                      <w:sz w:val="16"/>
                                      <w:szCs w:val="16"/>
                                    </w:rPr>
                                    <w:t>Timescales/</w:t>
                                  </w:r>
                                  <w:r w:rsidR="00DD1F54">
                                    <w:rPr>
                                      <w:sz w:val="16"/>
                                      <w:szCs w:val="16"/>
                                    </w:rPr>
                                    <w:t>funding</w:t>
                                  </w:r>
                                </w:p>
                              </w:tc>
                            </w:tr>
                            <w:tr w:rsidTr="009E49B3">
                              <w:tblPrEx>
                                <w:tblW w:w="5000" w:type="pct"/>
                                <w:tblLayout w:type="fixed"/>
                                <w:tblLook w:val="04A0"/>
                              </w:tblPrEx>
                              <w:tc>
                                <w:tcPr>
                                  <w:tcW w:w="4390" w:type="dxa"/>
                                </w:tcPr>
                                <w:p w:rsidR="00500504" w:rsidRPr="008A0ACC" w:rsidP="00A2014F">
                                  <w:pPr>
                                    <w:jc w:val="both"/>
                                    <w:rPr>
                                      <w:sz w:val="16"/>
                                      <w:szCs w:val="16"/>
                                    </w:rPr>
                                  </w:pPr>
                                  <w:r w:rsidRPr="008A0ACC">
                                    <w:rPr>
                                      <w:sz w:val="16"/>
                                      <w:szCs w:val="16"/>
                                    </w:rPr>
                                    <w:t>Guild Wheel Upgrade Link – P2 Watery Lane</w:t>
                                  </w:r>
                                </w:p>
                              </w:tc>
                              <w:tc>
                                <w:tcPr>
                                  <w:tcW w:w="708" w:type="dxa"/>
                                  <w:shd w:val="clear" w:color="auto" w:fill="FFC000" w:themeFill="accent4"/>
                                </w:tcPr>
                                <w:p w:rsidR="00500504" w:rsidRPr="008A0ACC" w:rsidP="00A2014F">
                                  <w:pPr>
                                    <w:jc w:val="both"/>
                                    <w:rPr>
                                      <w:sz w:val="16"/>
                                      <w:szCs w:val="16"/>
                                    </w:rPr>
                                  </w:pPr>
                                </w:p>
                              </w:tc>
                              <w:tc>
                                <w:tcPr>
                                  <w:tcW w:w="1701" w:type="dxa"/>
                                </w:tcPr>
                                <w:p w:rsidR="00500504" w:rsidRPr="008A0ACC" w:rsidP="00A2014F">
                                  <w:pPr>
                                    <w:jc w:val="both"/>
                                    <w:rPr>
                                      <w:sz w:val="16"/>
                                      <w:szCs w:val="16"/>
                                    </w:rPr>
                                  </w:pPr>
                                  <w:r>
                                    <w:rPr>
                                      <w:sz w:val="16"/>
                                      <w:szCs w:val="16"/>
                                    </w:rPr>
                                    <w:t>Contract  awarded</w:t>
                                  </w:r>
                                </w:p>
                              </w:tc>
                              <w:tc>
                                <w:tcPr>
                                  <w:tcW w:w="1781" w:type="dxa"/>
                                </w:tcPr>
                                <w:p w:rsidR="00500504" w:rsidP="00A2014F">
                                  <w:pPr>
                                    <w:jc w:val="both"/>
                                    <w:rPr>
                                      <w:sz w:val="16"/>
                                      <w:szCs w:val="16"/>
                                    </w:rPr>
                                  </w:pPr>
                                  <w:r>
                                    <w:rPr>
                                      <w:sz w:val="16"/>
                                      <w:szCs w:val="16"/>
                                    </w:rPr>
                                    <w:t>Timescales</w:t>
                                  </w:r>
                                </w:p>
                              </w:tc>
                            </w:tr>
                            <w:tr w:rsidTr="006C4269">
                              <w:tblPrEx>
                                <w:tblW w:w="5000" w:type="pct"/>
                                <w:tblLayout w:type="fixed"/>
                                <w:tblLook w:val="04A0"/>
                              </w:tblPrEx>
                              <w:tc>
                                <w:tcPr>
                                  <w:tcW w:w="4390" w:type="dxa"/>
                                </w:tcPr>
                                <w:p w:rsidR="00500504" w:rsidRPr="00E87974" w:rsidP="00A2014F">
                                  <w:pPr>
                                    <w:jc w:val="both"/>
                                    <w:rPr>
                                      <w:sz w:val="16"/>
                                      <w:szCs w:val="16"/>
                                    </w:rPr>
                                  </w:pPr>
                                  <w:r w:rsidRPr="00E87974">
                                    <w:rPr>
                                      <w:sz w:val="16"/>
                                      <w:szCs w:val="16"/>
                                    </w:rPr>
                                    <w:t>Lancaster Canal Towpath</w:t>
                                  </w:r>
                                  <w:r>
                                    <w:rPr>
                                      <w:sz w:val="16"/>
                                      <w:szCs w:val="16"/>
                                    </w:rPr>
                                    <w:t xml:space="preserve"> and Tom Benson Way</w:t>
                                  </w:r>
                                </w:p>
                              </w:tc>
                              <w:tc>
                                <w:tcPr>
                                  <w:tcW w:w="708" w:type="dxa"/>
                                  <w:shd w:val="clear" w:color="auto" w:fill="FF0000"/>
                                </w:tcPr>
                                <w:p w:rsidR="00500504" w:rsidRPr="00C32ED5" w:rsidP="00A2014F">
                                  <w:pPr>
                                    <w:jc w:val="both"/>
                                    <w:rPr>
                                      <w:color w:val="FF0000"/>
                                      <w:sz w:val="16"/>
                                      <w:szCs w:val="16"/>
                                    </w:rPr>
                                  </w:pPr>
                                </w:p>
                              </w:tc>
                              <w:tc>
                                <w:tcPr>
                                  <w:tcW w:w="1701" w:type="dxa"/>
                                </w:tcPr>
                                <w:p w:rsidR="00500504" w:rsidRPr="00E87974" w:rsidP="00A2014F">
                                  <w:pPr>
                                    <w:jc w:val="both"/>
                                    <w:rPr>
                                      <w:sz w:val="16"/>
                                      <w:szCs w:val="16"/>
                                    </w:rPr>
                                  </w:pPr>
                                  <w:r w:rsidRPr="00E87974">
                                    <w:rPr>
                                      <w:sz w:val="16"/>
                                      <w:szCs w:val="16"/>
                                    </w:rPr>
                                    <w:t>Design</w:t>
                                  </w:r>
                                  <w:r>
                                    <w:rPr>
                                      <w:sz w:val="16"/>
                                      <w:szCs w:val="16"/>
                                    </w:rPr>
                                    <w:t xml:space="preserve"> developed</w:t>
                                  </w:r>
                                </w:p>
                              </w:tc>
                              <w:tc>
                                <w:tcPr>
                                  <w:tcW w:w="1781" w:type="dxa"/>
                                </w:tcPr>
                                <w:p w:rsidR="00500504" w:rsidRPr="00E87974" w:rsidP="00DD1F54">
                                  <w:pPr>
                                    <w:jc w:val="both"/>
                                    <w:rPr>
                                      <w:sz w:val="16"/>
                                      <w:szCs w:val="16"/>
                                    </w:rPr>
                                  </w:pPr>
                                  <w:r>
                                    <w:rPr>
                                      <w:sz w:val="16"/>
                                      <w:szCs w:val="16"/>
                                    </w:rPr>
                                    <w:t>R</w:t>
                                  </w:r>
                                  <w:r w:rsidR="001E1F07">
                                    <w:rPr>
                                      <w:sz w:val="16"/>
                                      <w:szCs w:val="16"/>
                                    </w:rPr>
                                    <w:t>esources</w:t>
                                  </w:r>
                                  <w:r>
                                    <w:rPr>
                                      <w:sz w:val="16"/>
                                      <w:szCs w:val="16"/>
                                    </w:rPr>
                                    <w:t>/</w:t>
                                  </w:r>
                                  <w:r w:rsidR="00DD1F54">
                                    <w:rPr>
                                      <w:sz w:val="16"/>
                                      <w:szCs w:val="16"/>
                                    </w:rPr>
                                    <w:t>funding</w:t>
                                  </w:r>
                                </w:p>
                              </w:tc>
                            </w:tr>
                            <w:tr w:rsidTr="009E49B3">
                              <w:tblPrEx>
                                <w:tblW w:w="5000" w:type="pct"/>
                                <w:tblLayout w:type="fixed"/>
                                <w:tblLook w:val="04A0"/>
                              </w:tblPrEx>
                              <w:tc>
                                <w:tcPr>
                                  <w:tcW w:w="4390" w:type="dxa"/>
                                  <w:shd w:val="clear" w:color="auto" w:fill="BDD6EE" w:themeFill="accent1" w:themeFillTint="66"/>
                                </w:tcPr>
                                <w:p w:rsidR="00500504" w:rsidRPr="00E87974" w:rsidP="00A2014F">
                                  <w:pPr>
                                    <w:jc w:val="both"/>
                                    <w:rPr>
                                      <w:b/>
                                      <w:sz w:val="16"/>
                                      <w:szCs w:val="16"/>
                                    </w:rPr>
                                  </w:pPr>
                                  <w:r w:rsidRPr="00E87974">
                                    <w:rPr>
                                      <w:b/>
                                      <w:sz w:val="16"/>
                                      <w:szCs w:val="16"/>
                                    </w:rPr>
                                    <w:t>City Deal Zone 2: North East Preston</w:t>
                                  </w:r>
                                </w:p>
                              </w:tc>
                              <w:tc>
                                <w:tcPr>
                                  <w:tcW w:w="708" w:type="dxa"/>
                                  <w:shd w:val="clear" w:color="auto" w:fill="BDD6EE" w:themeFill="accent1" w:themeFillTint="66"/>
                                </w:tcPr>
                                <w:p w:rsidR="00500504" w:rsidRPr="00E87974" w:rsidP="00A2014F">
                                  <w:pPr>
                                    <w:jc w:val="both"/>
                                    <w:rPr>
                                      <w:b/>
                                      <w:sz w:val="16"/>
                                      <w:szCs w:val="16"/>
                                    </w:rPr>
                                  </w:pPr>
                                </w:p>
                              </w:tc>
                              <w:tc>
                                <w:tcPr>
                                  <w:tcW w:w="1701" w:type="dxa"/>
                                  <w:shd w:val="clear" w:color="auto" w:fill="BDD6EE" w:themeFill="accent1" w:themeFillTint="66"/>
                                </w:tcPr>
                                <w:p w:rsidR="00500504" w:rsidRPr="00E87974" w:rsidP="00A2014F">
                                  <w:pPr>
                                    <w:jc w:val="both"/>
                                    <w:rPr>
                                      <w:b/>
                                      <w:sz w:val="16"/>
                                      <w:szCs w:val="16"/>
                                    </w:rPr>
                                  </w:pPr>
                                </w:p>
                              </w:tc>
                              <w:tc>
                                <w:tcPr>
                                  <w:tcW w:w="1781" w:type="dxa"/>
                                  <w:shd w:val="clear" w:color="auto" w:fill="BDD6EE" w:themeFill="accent1" w:themeFillTint="66"/>
                                </w:tcPr>
                                <w:p w:rsidR="00500504" w:rsidRPr="00E87974" w:rsidP="00A2014F">
                                  <w:pPr>
                                    <w:jc w:val="both"/>
                                    <w:rPr>
                                      <w:b/>
                                      <w:sz w:val="16"/>
                                      <w:szCs w:val="16"/>
                                    </w:rPr>
                                  </w:pPr>
                                </w:p>
                              </w:tc>
                            </w:tr>
                            <w:tr w:rsidTr="009E49B3">
                              <w:tblPrEx>
                                <w:tblW w:w="5000" w:type="pct"/>
                                <w:tblLayout w:type="fixed"/>
                                <w:tblLook w:val="04A0"/>
                              </w:tblPrEx>
                              <w:tc>
                                <w:tcPr>
                                  <w:tcW w:w="4390" w:type="dxa"/>
                                </w:tcPr>
                                <w:p w:rsidR="00500504" w:rsidRPr="008A0ACC" w:rsidP="00A2014F">
                                  <w:pPr>
                                    <w:jc w:val="both"/>
                                    <w:rPr>
                                      <w:sz w:val="16"/>
                                      <w:szCs w:val="16"/>
                                    </w:rPr>
                                  </w:pPr>
                                  <w:r w:rsidRPr="008A0ACC">
                                    <w:rPr>
                                      <w:sz w:val="16"/>
                                      <w:szCs w:val="16"/>
                                    </w:rPr>
                                    <w:t>Grimsargh Green</w:t>
                                  </w:r>
                                </w:p>
                              </w:tc>
                              <w:tc>
                                <w:tcPr>
                                  <w:tcW w:w="708" w:type="dxa"/>
                                  <w:shd w:val="clear" w:color="auto" w:fill="70AD47" w:themeFill="accent6"/>
                                </w:tcPr>
                                <w:p w:rsidR="00500504" w:rsidRPr="008A0ACC" w:rsidP="00A2014F">
                                  <w:pPr>
                                    <w:jc w:val="both"/>
                                    <w:rPr>
                                      <w:sz w:val="16"/>
                                      <w:szCs w:val="16"/>
                                    </w:rPr>
                                  </w:pPr>
                                </w:p>
                              </w:tc>
                              <w:tc>
                                <w:tcPr>
                                  <w:tcW w:w="1701" w:type="dxa"/>
                                </w:tcPr>
                                <w:p w:rsidR="00500504" w:rsidRPr="008A0ACC" w:rsidP="00A2014F">
                                  <w:pPr>
                                    <w:jc w:val="both"/>
                                    <w:rPr>
                                      <w:sz w:val="16"/>
                                      <w:szCs w:val="16"/>
                                    </w:rPr>
                                  </w:pPr>
                                  <w:r>
                                    <w:rPr>
                                      <w:sz w:val="16"/>
                                      <w:szCs w:val="16"/>
                                    </w:rPr>
                                    <w:t>Contract awarded</w:t>
                                  </w:r>
                                </w:p>
                              </w:tc>
                              <w:tc>
                                <w:tcPr>
                                  <w:tcW w:w="1781" w:type="dxa"/>
                                </w:tcPr>
                                <w:p w:rsidR="00500504" w:rsidP="00A2014F">
                                  <w:pPr>
                                    <w:jc w:val="both"/>
                                    <w:rPr>
                                      <w:sz w:val="16"/>
                                      <w:szCs w:val="16"/>
                                    </w:rPr>
                                  </w:pPr>
                                </w:p>
                              </w:tc>
                            </w:tr>
                            <w:tr w:rsidTr="009E49B3">
                              <w:tblPrEx>
                                <w:tblW w:w="5000" w:type="pct"/>
                                <w:tblLayout w:type="fixed"/>
                                <w:tblLook w:val="04A0"/>
                              </w:tblPrEx>
                              <w:tc>
                                <w:tcPr>
                                  <w:tcW w:w="4390" w:type="dxa"/>
                                  <w:shd w:val="clear" w:color="auto" w:fill="BDD6EE" w:themeFill="accent1" w:themeFillTint="66"/>
                                </w:tcPr>
                                <w:p w:rsidR="00500504" w:rsidRPr="00E87974" w:rsidP="00A2014F">
                                  <w:pPr>
                                    <w:jc w:val="both"/>
                                    <w:rPr>
                                      <w:b/>
                                      <w:sz w:val="16"/>
                                      <w:szCs w:val="16"/>
                                    </w:rPr>
                                  </w:pPr>
                                  <w:r w:rsidRPr="00E87974">
                                    <w:rPr>
                                      <w:b/>
                                      <w:sz w:val="16"/>
                                      <w:szCs w:val="16"/>
                                    </w:rPr>
                                    <w:t>City Deal Zone 3: Preston City Centre</w:t>
                                  </w:r>
                                </w:p>
                              </w:tc>
                              <w:tc>
                                <w:tcPr>
                                  <w:tcW w:w="708" w:type="dxa"/>
                                  <w:shd w:val="clear" w:color="auto" w:fill="BDD6EE" w:themeFill="accent1" w:themeFillTint="66"/>
                                </w:tcPr>
                                <w:p w:rsidR="00500504" w:rsidRPr="00E87974" w:rsidP="00A2014F">
                                  <w:pPr>
                                    <w:jc w:val="both"/>
                                    <w:rPr>
                                      <w:b/>
                                      <w:sz w:val="16"/>
                                      <w:szCs w:val="16"/>
                                    </w:rPr>
                                  </w:pPr>
                                </w:p>
                              </w:tc>
                              <w:tc>
                                <w:tcPr>
                                  <w:tcW w:w="1701" w:type="dxa"/>
                                  <w:shd w:val="clear" w:color="auto" w:fill="BDD6EE" w:themeFill="accent1" w:themeFillTint="66"/>
                                </w:tcPr>
                                <w:p w:rsidR="00500504" w:rsidRPr="00E87974" w:rsidP="00A2014F">
                                  <w:pPr>
                                    <w:jc w:val="both"/>
                                    <w:rPr>
                                      <w:b/>
                                      <w:sz w:val="16"/>
                                      <w:szCs w:val="16"/>
                                    </w:rPr>
                                  </w:pPr>
                                </w:p>
                              </w:tc>
                              <w:tc>
                                <w:tcPr>
                                  <w:tcW w:w="1781" w:type="dxa"/>
                                  <w:shd w:val="clear" w:color="auto" w:fill="BDD6EE" w:themeFill="accent1" w:themeFillTint="66"/>
                                </w:tcPr>
                                <w:p w:rsidR="00500504" w:rsidRPr="00E87974" w:rsidP="00A2014F">
                                  <w:pPr>
                                    <w:jc w:val="both"/>
                                    <w:rPr>
                                      <w:b/>
                                      <w:sz w:val="16"/>
                                      <w:szCs w:val="16"/>
                                    </w:rPr>
                                  </w:pPr>
                                </w:p>
                              </w:tc>
                            </w:tr>
                            <w:tr w:rsidTr="009E49B3">
                              <w:tblPrEx>
                                <w:tblW w:w="5000" w:type="pct"/>
                                <w:tblLayout w:type="fixed"/>
                                <w:tblLook w:val="04A0"/>
                              </w:tblPrEx>
                              <w:tc>
                                <w:tcPr>
                                  <w:tcW w:w="4390" w:type="dxa"/>
                                </w:tcPr>
                                <w:p w:rsidR="00500504" w:rsidRPr="008A0ACC" w:rsidP="000F648E">
                                  <w:pPr>
                                    <w:jc w:val="both"/>
                                    <w:rPr>
                                      <w:sz w:val="16"/>
                                      <w:szCs w:val="16"/>
                                    </w:rPr>
                                  </w:pPr>
                                  <w:r w:rsidRPr="008A0ACC">
                                    <w:rPr>
                                      <w:sz w:val="16"/>
                                      <w:szCs w:val="16"/>
                                    </w:rPr>
                                    <w:t>Fishergate</w:t>
                                  </w:r>
                                  <w:r w:rsidRPr="008A0ACC">
                                    <w:rPr>
                                      <w:sz w:val="16"/>
                                      <w:szCs w:val="16"/>
                                    </w:rPr>
                                    <w:t xml:space="preserve"> Central Gateway – Ph3</w:t>
                                  </w:r>
                                </w:p>
                              </w:tc>
                              <w:tc>
                                <w:tcPr>
                                  <w:tcW w:w="708" w:type="dxa"/>
                                  <w:shd w:val="clear" w:color="auto" w:fill="FFC000" w:themeFill="accent4"/>
                                  <w:vAlign w:val="center"/>
                                </w:tcPr>
                                <w:p w:rsidR="00500504" w:rsidRPr="008A0ACC" w:rsidP="000F648E">
                                  <w:pPr>
                                    <w:jc w:val="both"/>
                                    <w:rPr>
                                      <w:sz w:val="16"/>
                                      <w:szCs w:val="16"/>
                                    </w:rPr>
                                  </w:pPr>
                                </w:p>
                              </w:tc>
                              <w:tc>
                                <w:tcPr>
                                  <w:tcW w:w="1701" w:type="dxa"/>
                                </w:tcPr>
                                <w:p w:rsidR="00500504" w:rsidRPr="008A0ACC" w:rsidP="000F648E">
                                  <w:pPr>
                                    <w:jc w:val="both"/>
                                    <w:rPr>
                                      <w:sz w:val="16"/>
                                      <w:szCs w:val="16"/>
                                    </w:rPr>
                                  </w:pPr>
                                  <w:r>
                                    <w:rPr>
                                      <w:sz w:val="16"/>
                                      <w:szCs w:val="16"/>
                                    </w:rPr>
                                    <w:t>On site</w:t>
                                  </w:r>
                                </w:p>
                              </w:tc>
                              <w:tc>
                                <w:tcPr>
                                  <w:tcW w:w="1781" w:type="dxa"/>
                                </w:tcPr>
                                <w:p w:rsidR="00500504" w:rsidP="000F648E">
                                  <w:pPr>
                                    <w:jc w:val="both"/>
                                    <w:rPr>
                                      <w:sz w:val="16"/>
                                      <w:szCs w:val="16"/>
                                    </w:rPr>
                                  </w:pPr>
                                  <w:r>
                                    <w:rPr>
                                      <w:sz w:val="16"/>
                                      <w:szCs w:val="16"/>
                                    </w:rPr>
                                    <w:t>timescales</w:t>
                                  </w:r>
                                </w:p>
                              </w:tc>
                            </w:tr>
                            <w:tr w:rsidTr="009E49B3">
                              <w:tblPrEx>
                                <w:tblW w:w="5000" w:type="pct"/>
                                <w:tblLayout w:type="fixed"/>
                                <w:tblLook w:val="04A0"/>
                              </w:tblPrEx>
                              <w:tc>
                                <w:tcPr>
                                  <w:tcW w:w="4390" w:type="dxa"/>
                                </w:tcPr>
                                <w:p w:rsidR="00500504" w:rsidRPr="008A0ACC" w:rsidP="00E87974">
                                  <w:pPr>
                                    <w:rPr>
                                      <w:sz w:val="16"/>
                                      <w:szCs w:val="16"/>
                                    </w:rPr>
                                  </w:pPr>
                                  <w:r w:rsidRPr="008A0ACC">
                                    <w:rPr>
                                      <w:sz w:val="16"/>
                                      <w:szCs w:val="16"/>
                                    </w:rPr>
                                    <w:t xml:space="preserve">PWD to </w:t>
                                  </w:r>
                                  <w:r w:rsidRPr="008A0ACC">
                                    <w:rPr>
                                      <w:sz w:val="16"/>
                                      <w:szCs w:val="16"/>
                                    </w:rPr>
                                    <w:t>Samlesbury</w:t>
                                  </w:r>
                                  <w:r w:rsidRPr="008A0ACC">
                                    <w:rPr>
                                      <w:sz w:val="16"/>
                                      <w:szCs w:val="16"/>
                                    </w:rPr>
                                    <w:t xml:space="preserve"> – New Hall Lane Local Centre (local centre)</w:t>
                                  </w:r>
                                </w:p>
                              </w:tc>
                              <w:tc>
                                <w:tcPr>
                                  <w:tcW w:w="708" w:type="dxa"/>
                                  <w:shd w:val="clear" w:color="auto" w:fill="FFC000" w:themeFill="accent4"/>
                                </w:tcPr>
                                <w:p w:rsidR="00500504" w:rsidRPr="008A0ACC" w:rsidP="00E87974">
                                  <w:pPr>
                                    <w:jc w:val="both"/>
                                    <w:rPr>
                                      <w:sz w:val="16"/>
                                      <w:szCs w:val="16"/>
                                    </w:rPr>
                                  </w:pPr>
                                </w:p>
                              </w:tc>
                              <w:tc>
                                <w:tcPr>
                                  <w:tcW w:w="1701" w:type="dxa"/>
                                </w:tcPr>
                                <w:p w:rsidR="00500504" w:rsidRPr="008A0ACC" w:rsidP="00E87974">
                                  <w:pPr>
                                    <w:jc w:val="both"/>
                                    <w:rPr>
                                      <w:sz w:val="16"/>
                                      <w:szCs w:val="16"/>
                                    </w:rPr>
                                  </w:pPr>
                                  <w:r w:rsidRPr="008A0ACC">
                                    <w:rPr>
                                      <w:sz w:val="16"/>
                                      <w:szCs w:val="16"/>
                                    </w:rPr>
                                    <w:t>On site</w:t>
                                  </w:r>
                                  <w:r>
                                    <w:rPr>
                                      <w:sz w:val="16"/>
                                      <w:szCs w:val="16"/>
                                    </w:rPr>
                                    <w:t>/site complete</w:t>
                                  </w:r>
                                </w:p>
                              </w:tc>
                              <w:tc>
                                <w:tcPr>
                                  <w:tcW w:w="1781" w:type="dxa"/>
                                </w:tcPr>
                                <w:p w:rsidR="00500504" w:rsidRPr="008A0ACC" w:rsidP="00E87974">
                                  <w:pPr>
                                    <w:jc w:val="both"/>
                                    <w:rPr>
                                      <w:sz w:val="16"/>
                                      <w:szCs w:val="16"/>
                                    </w:rPr>
                                  </w:pPr>
                                  <w:r>
                                    <w:rPr>
                                      <w:sz w:val="16"/>
                                      <w:szCs w:val="16"/>
                                    </w:rPr>
                                    <w:t>timescales</w:t>
                                  </w:r>
                                </w:p>
                              </w:tc>
                            </w:tr>
                            <w:tr w:rsidTr="009E49B3">
                              <w:tblPrEx>
                                <w:tblW w:w="5000" w:type="pct"/>
                                <w:tblLayout w:type="fixed"/>
                                <w:tblLook w:val="04A0"/>
                              </w:tblPrEx>
                              <w:tc>
                                <w:tcPr>
                                  <w:tcW w:w="4390" w:type="dxa"/>
                                </w:tcPr>
                                <w:p w:rsidR="00500504" w:rsidRPr="008A0ACC" w:rsidP="00E87974">
                                  <w:pPr>
                                    <w:jc w:val="both"/>
                                    <w:rPr>
                                      <w:sz w:val="16"/>
                                      <w:szCs w:val="16"/>
                                    </w:rPr>
                                  </w:pPr>
                                  <w:r w:rsidRPr="008A0ACC">
                                    <w:rPr>
                                      <w:sz w:val="16"/>
                                      <w:szCs w:val="16"/>
                                    </w:rPr>
                                    <w:t>City Transport Plan</w:t>
                                  </w:r>
                                </w:p>
                              </w:tc>
                              <w:tc>
                                <w:tcPr>
                                  <w:tcW w:w="708" w:type="dxa"/>
                                  <w:shd w:val="clear" w:color="auto" w:fill="FFC000" w:themeFill="accent4"/>
                                </w:tcPr>
                                <w:p w:rsidR="00500504" w:rsidRPr="008A0ACC" w:rsidP="00E87974">
                                  <w:pPr>
                                    <w:jc w:val="both"/>
                                    <w:rPr>
                                      <w:sz w:val="16"/>
                                      <w:szCs w:val="16"/>
                                    </w:rPr>
                                  </w:pPr>
                                </w:p>
                              </w:tc>
                              <w:tc>
                                <w:tcPr>
                                  <w:tcW w:w="1701" w:type="dxa"/>
                                </w:tcPr>
                                <w:p w:rsidR="00500504" w:rsidRPr="008A0ACC" w:rsidP="00E87974">
                                  <w:pPr>
                                    <w:jc w:val="both"/>
                                    <w:rPr>
                                      <w:sz w:val="16"/>
                                      <w:szCs w:val="16"/>
                                    </w:rPr>
                                  </w:pPr>
                                  <w:r w:rsidRPr="008A0ACC">
                                    <w:rPr>
                                      <w:sz w:val="16"/>
                                      <w:szCs w:val="16"/>
                                    </w:rPr>
                                    <w:t>underway</w:t>
                                  </w:r>
                                </w:p>
                              </w:tc>
                              <w:tc>
                                <w:tcPr>
                                  <w:tcW w:w="1781" w:type="dxa"/>
                                </w:tcPr>
                                <w:p w:rsidR="00500504" w:rsidRPr="008A0ACC" w:rsidP="00E87974">
                                  <w:pPr>
                                    <w:jc w:val="both"/>
                                    <w:rPr>
                                      <w:sz w:val="16"/>
                                      <w:szCs w:val="16"/>
                                    </w:rPr>
                                  </w:pPr>
                                  <w:r>
                                    <w:rPr>
                                      <w:sz w:val="16"/>
                                      <w:szCs w:val="16"/>
                                    </w:rPr>
                                    <w:t>Officer resources</w:t>
                                  </w:r>
                                </w:p>
                              </w:tc>
                            </w:tr>
                            <w:tr w:rsidTr="009E49B3">
                              <w:tblPrEx>
                                <w:tblW w:w="5000" w:type="pct"/>
                                <w:tblLayout w:type="fixed"/>
                                <w:tblLook w:val="04A0"/>
                              </w:tblPrEx>
                              <w:tc>
                                <w:tcPr>
                                  <w:tcW w:w="4390" w:type="dxa"/>
                                </w:tcPr>
                                <w:p w:rsidR="00500504" w:rsidRPr="00E87974" w:rsidP="00E87974">
                                  <w:pPr>
                                    <w:jc w:val="both"/>
                                    <w:rPr>
                                      <w:sz w:val="16"/>
                                      <w:szCs w:val="16"/>
                                    </w:rPr>
                                  </w:pPr>
                                  <w:r w:rsidRPr="00E87974">
                                    <w:rPr>
                                      <w:sz w:val="16"/>
                                      <w:szCs w:val="16"/>
                                    </w:rPr>
                                    <w:t>Expanded City Cultural Development programme</w:t>
                                  </w:r>
                                </w:p>
                              </w:tc>
                              <w:tc>
                                <w:tcPr>
                                  <w:tcW w:w="708" w:type="dxa"/>
                                  <w:shd w:val="clear" w:color="auto" w:fill="70AD47" w:themeFill="accent6"/>
                                </w:tcPr>
                                <w:p w:rsidR="00500504" w:rsidRPr="00E87974" w:rsidP="00E87974">
                                  <w:pPr>
                                    <w:jc w:val="both"/>
                                    <w:rPr>
                                      <w:sz w:val="16"/>
                                      <w:szCs w:val="16"/>
                                    </w:rPr>
                                  </w:pPr>
                                </w:p>
                              </w:tc>
                              <w:tc>
                                <w:tcPr>
                                  <w:tcW w:w="1701" w:type="dxa"/>
                                </w:tcPr>
                                <w:p w:rsidR="00500504" w:rsidRPr="00E87974" w:rsidP="00E87974">
                                  <w:pPr>
                                    <w:jc w:val="both"/>
                                    <w:rPr>
                                      <w:sz w:val="16"/>
                                      <w:szCs w:val="16"/>
                                    </w:rPr>
                                  </w:pPr>
                                  <w:r>
                                    <w:rPr>
                                      <w:sz w:val="16"/>
                                      <w:szCs w:val="16"/>
                                    </w:rPr>
                                    <w:t>U</w:t>
                                  </w:r>
                                  <w:r w:rsidR="002774DF">
                                    <w:rPr>
                                      <w:sz w:val="16"/>
                                      <w:szCs w:val="16"/>
                                    </w:rPr>
                                    <w:t>nderway</w:t>
                                  </w:r>
                                </w:p>
                              </w:tc>
                              <w:tc>
                                <w:tcPr>
                                  <w:tcW w:w="1781" w:type="dxa"/>
                                </w:tcPr>
                                <w:p w:rsidR="00500504" w:rsidP="00E87974">
                                  <w:pPr>
                                    <w:jc w:val="both"/>
                                    <w:rPr>
                                      <w:sz w:val="16"/>
                                      <w:szCs w:val="16"/>
                                    </w:rPr>
                                  </w:pPr>
                                </w:p>
                              </w:tc>
                            </w:tr>
                            <w:tr w:rsidTr="009E49B3">
                              <w:tblPrEx>
                                <w:tblW w:w="5000" w:type="pct"/>
                                <w:tblLayout w:type="fixed"/>
                                <w:tblLook w:val="04A0"/>
                              </w:tblPrEx>
                              <w:tc>
                                <w:tcPr>
                                  <w:tcW w:w="4390" w:type="dxa"/>
                                </w:tcPr>
                                <w:p w:rsidR="00500504" w:rsidRPr="00E87974" w:rsidP="00E87974">
                                  <w:pPr>
                                    <w:jc w:val="both"/>
                                    <w:rPr>
                                      <w:sz w:val="16"/>
                                      <w:szCs w:val="16"/>
                                    </w:rPr>
                                  </w:pPr>
                                  <w:r w:rsidRPr="00E87974">
                                    <w:rPr>
                                      <w:sz w:val="16"/>
                                      <w:szCs w:val="16"/>
                                    </w:rPr>
                                    <w:t>East Cliff Cycle Link and Bridge</w:t>
                                  </w:r>
                                </w:p>
                              </w:tc>
                              <w:tc>
                                <w:tcPr>
                                  <w:tcW w:w="708" w:type="dxa"/>
                                  <w:shd w:val="clear" w:color="auto" w:fill="70AD47" w:themeFill="accent6"/>
                                </w:tcPr>
                                <w:p w:rsidR="00500504" w:rsidRPr="00E87974" w:rsidP="00E87974">
                                  <w:pPr>
                                    <w:jc w:val="both"/>
                                    <w:rPr>
                                      <w:sz w:val="16"/>
                                      <w:szCs w:val="16"/>
                                    </w:rPr>
                                  </w:pPr>
                                </w:p>
                              </w:tc>
                              <w:tc>
                                <w:tcPr>
                                  <w:tcW w:w="1701" w:type="dxa"/>
                                </w:tcPr>
                                <w:p w:rsidR="00500504" w:rsidRPr="00E87974" w:rsidP="00E87974">
                                  <w:pPr>
                                    <w:jc w:val="both"/>
                                    <w:rPr>
                                      <w:sz w:val="16"/>
                                      <w:szCs w:val="16"/>
                                    </w:rPr>
                                  </w:pPr>
                                  <w:r>
                                    <w:rPr>
                                      <w:sz w:val="16"/>
                                      <w:szCs w:val="16"/>
                                    </w:rPr>
                                    <w:t>D</w:t>
                                  </w:r>
                                  <w:r>
                                    <w:rPr>
                                      <w:sz w:val="16"/>
                                      <w:szCs w:val="16"/>
                                    </w:rPr>
                                    <w:t>esign</w:t>
                                  </w:r>
                                </w:p>
                              </w:tc>
                              <w:tc>
                                <w:tcPr>
                                  <w:tcW w:w="1781" w:type="dxa"/>
                                </w:tcPr>
                                <w:p w:rsidR="00500504" w:rsidP="00E87974">
                                  <w:pPr>
                                    <w:jc w:val="both"/>
                                    <w:rPr>
                                      <w:sz w:val="16"/>
                                      <w:szCs w:val="16"/>
                                    </w:rPr>
                                  </w:pPr>
                                </w:p>
                              </w:tc>
                            </w:tr>
                            <w:tr w:rsidTr="009E49B3">
                              <w:tblPrEx>
                                <w:tblW w:w="5000" w:type="pct"/>
                                <w:tblLayout w:type="fixed"/>
                                <w:tblLook w:val="04A0"/>
                              </w:tblPrEx>
                              <w:tc>
                                <w:tcPr>
                                  <w:tcW w:w="4390" w:type="dxa"/>
                                  <w:shd w:val="clear" w:color="auto" w:fill="BDD6EE" w:themeFill="accent1" w:themeFillTint="66"/>
                                </w:tcPr>
                                <w:p w:rsidR="00500504" w:rsidRPr="00950B5C" w:rsidP="000F648E">
                                  <w:pPr>
                                    <w:jc w:val="both"/>
                                    <w:rPr>
                                      <w:b/>
                                      <w:sz w:val="16"/>
                                      <w:szCs w:val="16"/>
                                    </w:rPr>
                                  </w:pPr>
                                  <w:r w:rsidRPr="00950B5C">
                                    <w:rPr>
                                      <w:b/>
                                      <w:sz w:val="16"/>
                                      <w:szCs w:val="16"/>
                                    </w:rPr>
                                    <w:t>City Deal Zone 4: Penwortham &amp; Lostock hall</w:t>
                                  </w:r>
                                </w:p>
                              </w:tc>
                              <w:tc>
                                <w:tcPr>
                                  <w:tcW w:w="708" w:type="dxa"/>
                                  <w:shd w:val="clear" w:color="auto" w:fill="BDD6EE" w:themeFill="accent1" w:themeFillTint="66"/>
                                  <w:vAlign w:val="center"/>
                                </w:tcPr>
                                <w:p w:rsidR="00500504" w:rsidRPr="00950B5C" w:rsidP="000F648E">
                                  <w:pPr>
                                    <w:jc w:val="both"/>
                                    <w:rPr>
                                      <w:b/>
                                      <w:sz w:val="16"/>
                                      <w:szCs w:val="16"/>
                                    </w:rPr>
                                  </w:pPr>
                                </w:p>
                              </w:tc>
                              <w:tc>
                                <w:tcPr>
                                  <w:tcW w:w="1701" w:type="dxa"/>
                                  <w:shd w:val="clear" w:color="auto" w:fill="BDD6EE" w:themeFill="accent1" w:themeFillTint="66"/>
                                </w:tcPr>
                                <w:p w:rsidR="00500504" w:rsidRPr="00950B5C" w:rsidP="000F648E">
                                  <w:pPr>
                                    <w:jc w:val="both"/>
                                    <w:rPr>
                                      <w:b/>
                                      <w:sz w:val="16"/>
                                      <w:szCs w:val="16"/>
                                    </w:rPr>
                                  </w:pPr>
                                </w:p>
                              </w:tc>
                              <w:tc>
                                <w:tcPr>
                                  <w:tcW w:w="1781" w:type="dxa"/>
                                  <w:shd w:val="clear" w:color="auto" w:fill="BDD6EE" w:themeFill="accent1" w:themeFillTint="66"/>
                                </w:tcPr>
                                <w:p w:rsidR="00500504" w:rsidRPr="00950B5C" w:rsidP="000F648E">
                                  <w:pPr>
                                    <w:jc w:val="both"/>
                                    <w:rPr>
                                      <w:b/>
                                      <w:sz w:val="16"/>
                                      <w:szCs w:val="16"/>
                                    </w:rPr>
                                  </w:pPr>
                                </w:p>
                              </w:tc>
                            </w:tr>
                            <w:tr w:rsidTr="009E49B3">
                              <w:tblPrEx>
                                <w:tblW w:w="5000" w:type="pct"/>
                                <w:tblLayout w:type="fixed"/>
                                <w:tblLook w:val="04A0"/>
                              </w:tblPrEx>
                              <w:tc>
                                <w:tcPr>
                                  <w:tcW w:w="4390" w:type="dxa"/>
                                </w:tcPr>
                                <w:p w:rsidR="00500504" w:rsidRPr="008A0ACC" w:rsidP="002774DF">
                                  <w:pPr>
                                    <w:jc w:val="both"/>
                                    <w:rPr>
                                      <w:sz w:val="16"/>
                                      <w:szCs w:val="16"/>
                                    </w:rPr>
                                  </w:pPr>
                                  <w:r w:rsidRPr="008A0ACC">
                                    <w:rPr>
                                      <w:sz w:val="16"/>
                                      <w:szCs w:val="16"/>
                                    </w:rPr>
                                    <w:t xml:space="preserve">Penwortham </w:t>
                                  </w:r>
                                  <w:r w:rsidR="002774DF">
                                    <w:rPr>
                                      <w:sz w:val="16"/>
                                      <w:szCs w:val="16"/>
                                    </w:rPr>
                                    <w:t>B</w:t>
                                  </w:r>
                                  <w:r w:rsidRPr="008A0ACC">
                                    <w:rPr>
                                      <w:sz w:val="16"/>
                                      <w:szCs w:val="16"/>
                                    </w:rPr>
                                    <w:t>ypass</w:t>
                                  </w:r>
                                </w:p>
                              </w:tc>
                              <w:tc>
                                <w:tcPr>
                                  <w:tcW w:w="708" w:type="dxa"/>
                                  <w:shd w:val="clear" w:color="auto" w:fill="70AD47" w:themeFill="accent6"/>
                                  <w:vAlign w:val="center"/>
                                </w:tcPr>
                                <w:p w:rsidR="00500504" w:rsidRPr="008A0ACC" w:rsidP="000F648E">
                                  <w:pPr>
                                    <w:jc w:val="both"/>
                                    <w:rPr>
                                      <w:sz w:val="16"/>
                                      <w:szCs w:val="16"/>
                                    </w:rPr>
                                  </w:pPr>
                                </w:p>
                              </w:tc>
                              <w:tc>
                                <w:tcPr>
                                  <w:tcW w:w="1701" w:type="dxa"/>
                                </w:tcPr>
                                <w:p w:rsidR="00500504" w:rsidRPr="008A0ACC" w:rsidP="000F648E">
                                  <w:pPr>
                                    <w:jc w:val="both"/>
                                    <w:rPr>
                                      <w:sz w:val="16"/>
                                      <w:szCs w:val="16"/>
                                    </w:rPr>
                                  </w:pPr>
                                  <w:r w:rsidRPr="008A0ACC">
                                    <w:rPr>
                                      <w:sz w:val="16"/>
                                      <w:szCs w:val="16"/>
                                    </w:rPr>
                                    <w:t>On site</w:t>
                                  </w:r>
                                </w:p>
                              </w:tc>
                              <w:tc>
                                <w:tcPr>
                                  <w:tcW w:w="1781" w:type="dxa"/>
                                </w:tcPr>
                                <w:p w:rsidR="00500504" w:rsidRPr="008A0ACC" w:rsidP="000F648E">
                                  <w:pPr>
                                    <w:jc w:val="both"/>
                                    <w:rPr>
                                      <w:sz w:val="16"/>
                                      <w:szCs w:val="16"/>
                                    </w:rPr>
                                  </w:pPr>
                                </w:p>
                              </w:tc>
                            </w:tr>
                            <w:tr w:rsidTr="009E49B3">
                              <w:tblPrEx>
                                <w:tblW w:w="5000" w:type="pct"/>
                                <w:tblLayout w:type="fixed"/>
                                <w:tblLook w:val="04A0"/>
                              </w:tblPrEx>
                              <w:tc>
                                <w:tcPr>
                                  <w:tcW w:w="4390" w:type="dxa"/>
                                </w:tcPr>
                                <w:p w:rsidR="00500504" w:rsidRPr="00E87974" w:rsidP="002774DF">
                                  <w:pPr>
                                    <w:jc w:val="both"/>
                                    <w:rPr>
                                      <w:sz w:val="16"/>
                                      <w:szCs w:val="16"/>
                                    </w:rPr>
                                  </w:pPr>
                                  <w:r w:rsidRPr="00E87974">
                                    <w:rPr>
                                      <w:sz w:val="16"/>
                                      <w:szCs w:val="16"/>
                                    </w:rPr>
                                    <w:t xml:space="preserve">A582 </w:t>
                                  </w:r>
                                  <w:r w:rsidR="002774DF">
                                    <w:rPr>
                                      <w:sz w:val="16"/>
                                      <w:szCs w:val="16"/>
                                    </w:rPr>
                                    <w:t>S</w:t>
                                  </w:r>
                                  <w:r w:rsidRPr="00E87974">
                                    <w:rPr>
                                      <w:sz w:val="16"/>
                                      <w:szCs w:val="16"/>
                                    </w:rPr>
                                    <w:t xml:space="preserve">outh Ribble Western Distributor </w:t>
                                  </w:r>
                                  <w:r w:rsidRPr="00E87974">
                                    <w:rPr>
                                      <w:sz w:val="16"/>
                                      <w:szCs w:val="16"/>
                                    </w:rPr>
                                    <w:t>dualling</w:t>
                                  </w:r>
                                  <w:r w:rsidRPr="00E87974">
                                    <w:rPr>
                                      <w:sz w:val="16"/>
                                      <w:szCs w:val="16"/>
                                    </w:rPr>
                                    <w:t xml:space="preserve"> (SRWD)</w:t>
                                  </w:r>
                                </w:p>
                              </w:tc>
                              <w:tc>
                                <w:tcPr>
                                  <w:tcW w:w="708" w:type="dxa"/>
                                  <w:shd w:val="clear" w:color="auto" w:fill="FF0000"/>
                                  <w:vAlign w:val="center"/>
                                </w:tcPr>
                                <w:p w:rsidR="00500504" w:rsidRPr="00E87974" w:rsidP="000F648E">
                                  <w:pPr>
                                    <w:jc w:val="both"/>
                                    <w:rPr>
                                      <w:sz w:val="16"/>
                                      <w:szCs w:val="16"/>
                                    </w:rPr>
                                  </w:pPr>
                                </w:p>
                              </w:tc>
                              <w:tc>
                                <w:tcPr>
                                  <w:tcW w:w="1701" w:type="dxa"/>
                                </w:tcPr>
                                <w:p w:rsidR="00500504" w:rsidRPr="00E87974" w:rsidP="000F648E">
                                  <w:pPr>
                                    <w:jc w:val="both"/>
                                    <w:rPr>
                                      <w:sz w:val="16"/>
                                      <w:szCs w:val="16"/>
                                    </w:rPr>
                                  </w:pPr>
                                  <w:r>
                                    <w:rPr>
                                      <w:sz w:val="16"/>
                                      <w:szCs w:val="16"/>
                                    </w:rPr>
                                    <w:t>P</w:t>
                                  </w:r>
                                  <w:r>
                                    <w:rPr>
                                      <w:sz w:val="16"/>
                                      <w:szCs w:val="16"/>
                                    </w:rPr>
                                    <w:t>lanning</w:t>
                                  </w:r>
                                </w:p>
                              </w:tc>
                              <w:tc>
                                <w:tcPr>
                                  <w:tcW w:w="1781" w:type="dxa"/>
                                </w:tcPr>
                                <w:p w:rsidR="00500504" w:rsidP="000F648E">
                                  <w:pPr>
                                    <w:jc w:val="both"/>
                                    <w:rPr>
                                      <w:sz w:val="16"/>
                                      <w:szCs w:val="16"/>
                                    </w:rPr>
                                  </w:pPr>
                                  <w:r>
                                    <w:rPr>
                                      <w:sz w:val="16"/>
                                      <w:szCs w:val="16"/>
                                    </w:rPr>
                                    <w:t>Funding</w:t>
                                  </w:r>
                                </w:p>
                              </w:tc>
                            </w:tr>
                            <w:tr w:rsidTr="00377C4A">
                              <w:tblPrEx>
                                <w:tblW w:w="5000" w:type="pct"/>
                                <w:tblLayout w:type="fixed"/>
                                <w:tblLook w:val="04A0"/>
                              </w:tblPrEx>
                              <w:tc>
                                <w:tcPr>
                                  <w:tcW w:w="4390" w:type="dxa"/>
                                </w:tcPr>
                                <w:p w:rsidR="00500504" w:rsidRPr="00E87974" w:rsidP="00E87974">
                                  <w:pPr>
                                    <w:jc w:val="both"/>
                                    <w:rPr>
                                      <w:sz w:val="16"/>
                                      <w:szCs w:val="16"/>
                                    </w:rPr>
                                  </w:pPr>
                                  <w:r w:rsidRPr="00E87974">
                                    <w:rPr>
                                      <w:sz w:val="16"/>
                                      <w:szCs w:val="16"/>
                                    </w:rPr>
                                    <w:t>Hutton/Higher Penwortham/City Centre</w:t>
                                  </w:r>
                                </w:p>
                              </w:tc>
                              <w:tc>
                                <w:tcPr>
                                  <w:tcW w:w="708" w:type="dxa"/>
                                  <w:shd w:val="clear" w:color="auto" w:fill="70AD47" w:themeFill="accent6"/>
                                </w:tcPr>
                                <w:p w:rsidR="00500504" w:rsidRPr="00E87974" w:rsidP="00E87974">
                                  <w:pPr>
                                    <w:jc w:val="both"/>
                                    <w:rPr>
                                      <w:sz w:val="16"/>
                                      <w:szCs w:val="16"/>
                                    </w:rPr>
                                  </w:pPr>
                                </w:p>
                              </w:tc>
                              <w:tc>
                                <w:tcPr>
                                  <w:tcW w:w="1701" w:type="dxa"/>
                                </w:tcPr>
                                <w:p w:rsidR="00500504" w:rsidRPr="00E87974" w:rsidP="00E87974">
                                  <w:pPr>
                                    <w:jc w:val="both"/>
                                    <w:rPr>
                                      <w:sz w:val="16"/>
                                      <w:szCs w:val="16"/>
                                    </w:rPr>
                                  </w:pPr>
                                  <w:r w:rsidRPr="00E87974">
                                    <w:rPr>
                                      <w:sz w:val="16"/>
                                      <w:szCs w:val="16"/>
                                    </w:rPr>
                                    <w:t>Planning</w:t>
                                  </w:r>
                                  <w:r>
                                    <w:rPr>
                                      <w:sz w:val="16"/>
                                      <w:szCs w:val="16"/>
                                    </w:rPr>
                                    <w:t>/design</w:t>
                                  </w:r>
                                </w:p>
                              </w:tc>
                              <w:tc>
                                <w:tcPr>
                                  <w:tcW w:w="1781" w:type="dxa"/>
                                </w:tcPr>
                                <w:p w:rsidR="00500504" w:rsidRPr="00E87974" w:rsidP="00E87974">
                                  <w:pPr>
                                    <w:jc w:val="both"/>
                                    <w:rPr>
                                      <w:sz w:val="16"/>
                                      <w:szCs w:val="16"/>
                                    </w:rPr>
                                  </w:pPr>
                                </w:p>
                              </w:tc>
                            </w:tr>
                            <w:tr w:rsidTr="009E49B3">
                              <w:tblPrEx>
                                <w:tblW w:w="5000" w:type="pct"/>
                                <w:tblLayout w:type="fixed"/>
                                <w:tblLook w:val="04A0"/>
                              </w:tblPrEx>
                              <w:tc>
                                <w:tcPr>
                                  <w:tcW w:w="4390" w:type="dxa"/>
                                  <w:shd w:val="clear" w:color="auto" w:fill="BDD6EE" w:themeFill="accent1" w:themeFillTint="66"/>
                                </w:tcPr>
                                <w:p w:rsidR="00500504" w:rsidRPr="008A0ACC" w:rsidP="000F648E">
                                  <w:pPr>
                                    <w:jc w:val="both"/>
                                    <w:rPr>
                                      <w:b/>
                                      <w:sz w:val="16"/>
                                      <w:szCs w:val="16"/>
                                    </w:rPr>
                                  </w:pPr>
                                  <w:r w:rsidRPr="008A0ACC">
                                    <w:rPr>
                                      <w:b/>
                                      <w:sz w:val="16"/>
                                      <w:szCs w:val="16"/>
                                    </w:rPr>
                                    <w:t xml:space="preserve">City Deal Zone 5: Leyland and </w:t>
                                  </w:r>
                                  <w:r w:rsidRPr="008A0ACC">
                                    <w:rPr>
                                      <w:b/>
                                      <w:sz w:val="16"/>
                                      <w:szCs w:val="16"/>
                                    </w:rPr>
                                    <w:t>Cuerden</w:t>
                                  </w:r>
                                </w:p>
                              </w:tc>
                              <w:tc>
                                <w:tcPr>
                                  <w:tcW w:w="708" w:type="dxa"/>
                                  <w:shd w:val="clear" w:color="auto" w:fill="BDD6EE" w:themeFill="accent1" w:themeFillTint="66"/>
                                  <w:vAlign w:val="center"/>
                                </w:tcPr>
                                <w:p w:rsidR="00500504" w:rsidRPr="008A0ACC" w:rsidP="000F648E">
                                  <w:pPr>
                                    <w:jc w:val="both"/>
                                    <w:rPr>
                                      <w:b/>
                                      <w:sz w:val="16"/>
                                      <w:szCs w:val="16"/>
                                    </w:rPr>
                                  </w:pPr>
                                </w:p>
                              </w:tc>
                              <w:tc>
                                <w:tcPr>
                                  <w:tcW w:w="1701" w:type="dxa"/>
                                  <w:shd w:val="clear" w:color="auto" w:fill="BDD6EE" w:themeFill="accent1" w:themeFillTint="66"/>
                                </w:tcPr>
                                <w:p w:rsidR="00500504" w:rsidRPr="008A0ACC" w:rsidP="000F648E">
                                  <w:pPr>
                                    <w:jc w:val="both"/>
                                    <w:rPr>
                                      <w:b/>
                                      <w:sz w:val="16"/>
                                      <w:szCs w:val="16"/>
                                    </w:rPr>
                                  </w:pPr>
                                </w:p>
                              </w:tc>
                              <w:tc>
                                <w:tcPr>
                                  <w:tcW w:w="1781" w:type="dxa"/>
                                  <w:shd w:val="clear" w:color="auto" w:fill="BDD6EE" w:themeFill="accent1" w:themeFillTint="66"/>
                                </w:tcPr>
                                <w:p w:rsidR="00500504" w:rsidRPr="008A0ACC" w:rsidP="000F648E">
                                  <w:pPr>
                                    <w:jc w:val="both"/>
                                    <w:rPr>
                                      <w:b/>
                                      <w:sz w:val="16"/>
                                      <w:szCs w:val="16"/>
                                    </w:rPr>
                                  </w:pPr>
                                </w:p>
                              </w:tc>
                            </w:tr>
                            <w:tr w:rsidTr="009E49B3">
                              <w:tblPrEx>
                                <w:tblW w:w="5000" w:type="pct"/>
                                <w:tblLayout w:type="fixed"/>
                                <w:tblLook w:val="04A0"/>
                              </w:tblPrEx>
                              <w:tc>
                                <w:tcPr>
                                  <w:tcW w:w="4390" w:type="dxa"/>
                                </w:tcPr>
                                <w:p w:rsidR="00500504" w:rsidRPr="008A0ACC" w:rsidP="000F648E">
                                  <w:pPr>
                                    <w:jc w:val="both"/>
                                    <w:rPr>
                                      <w:sz w:val="16"/>
                                      <w:szCs w:val="16"/>
                                    </w:rPr>
                                  </w:pPr>
                                  <w:r w:rsidRPr="008A0ACC">
                                    <w:rPr>
                                      <w:sz w:val="16"/>
                                      <w:szCs w:val="16"/>
                                    </w:rPr>
                                    <w:t>Cuerden</w:t>
                                  </w:r>
                                  <w:r w:rsidRPr="008A0ACC">
                                    <w:rPr>
                                      <w:sz w:val="16"/>
                                      <w:szCs w:val="16"/>
                                    </w:rPr>
                                    <w:t xml:space="preserve"> Strategic Site – road infrastructure</w:t>
                                  </w:r>
                                </w:p>
                              </w:tc>
                              <w:tc>
                                <w:tcPr>
                                  <w:tcW w:w="708" w:type="dxa"/>
                                  <w:shd w:val="clear" w:color="auto" w:fill="FFC000" w:themeFill="accent4"/>
                                  <w:vAlign w:val="center"/>
                                </w:tcPr>
                                <w:p w:rsidR="00500504" w:rsidRPr="008A0ACC" w:rsidP="000F648E">
                                  <w:pPr>
                                    <w:jc w:val="both"/>
                                    <w:rPr>
                                      <w:sz w:val="16"/>
                                      <w:szCs w:val="16"/>
                                    </w:rPr>
                                  </w:pPr>
                                </w:p>
                              </w:tc>
                              <w:tc>
                                <w:tcPr>
                                  <w:tcW w:w="1701" w:type="dxa"/>
                                </w:tcPr>
                                <w:p w:rsidR="00500504" w:rsidRPr="008A0ACC" w:rsidP="000F648E">
                                  <w:pPr>
                                    <w:jc w:val="both"/>
                                    <w:rPr>
                                      <w:sz w:val="16"/>
                                      <w:szCs w:val="16"/>
                                    </w:rPr>
                                  </w:pPr>
                                  <w:r>
                                    <w:rPr>
                                      <w:sz w:val="16"/>
                                      <w:szCs w:val="16"/>
                                    </w:rPr>
                                    <w:t>Under review</w:t>
                                  </w:r>
                                </w:p>
                              </w:tc>
                              <w:tc>
                                <w:tcPr>
                                  <w:tcW w:w="1781" w:type="dxa"/>
                                </w:tcPr>
                                <w:p w:rsidR="00500504" w:rsidP="000F648E">
                                  <w:pPr>
                                    <w:jc w:val="both"/>
                                    <w:rPr>
                                      <w:sz w:val="16"/>
                                      <w:szCs w:val="16"/>
                                    </w:rPr>
                                  </w:pPr>
                                  <w:r>
                                    <w:rPr>
                                      <w:sz w:val="16"/>
                                      <w:szCs w:val="16"/>
                                    </w:rPr>
                                    <w:t>Under review</w:t>
                                  </w:r>
                                </w:p>
                              </w:tc>
                            </w:tr>
                            <w:tr w:rsidTr="009E49B3">
                              <w:tblPrEx>
                                <w:tblW w:w="5000" w:type="pct"/>
                                <w:tblLayout w:type="fixed"/>
                                <w:tblLook w:val="04A0"/>
                              </w:tblPrEx>
                              <w:tc>
                                <w:tcPr>
                                  <w:tcW w:w="4390" w:type="dxa"/>
                                  <w:shd w:val="clear" w:color="auto" w:fill="BDD6EE" w:themeFill="accent1" w:themeFillTint="66"/>
                                </w:tcPr>
                                <w:p w:rsidR="00500504" w:rsidRPr="00E87974" w:rsidP="000F648E">
                                  <w:pPr>
                                    <w:jc w:val="both"/>
                                    <w:rPr>
                                      <w:b/>
                                      <w:sz w:val="16"/>
                                      <w:szCs w:val="16"/>
                                    </w:rPr>
                                  </w:pPr>
                                  <w:r w:rsidRPr="00E87974">
                                    <w:rPr>
                                      <w:b/>
                                      <w:sz w:val="16"/>
                                      <w:szCs w:val="16"/>
                                    </w:rPr>
                                    <w:t>City Deal Zone 6: Bamber Bridge</w:t>
                                  </w:r>
                                </w:p>
                              </w:tc>
                              <w:tc>
                                <w:tcPr>
                                  <w:tcW w:w="708" w:type="dxa"/>
                                  <w:shd w:val="clear" w:color="auto" w:fill="BDD6EE" w:themeFill="accent1" w:themeFillTint="66"/>
                                  <w:vAlign w:val="center"/>
                                </w:tcPr>
                                <w:p w:rsidR="00500504" w:rsidRPr="00E87974" w:rsidP="000F648E">
                                  <w:pPr>
                                    <w:jc w:val="both"/>
                                    <w:rPr>
                                      <w:b/>
                                      <w:sz w:val="16"/>
                                      <w:szCs w:val="16"/>
                                    </w:rPr>
                                  </w:pPr>
                                </w:p>
                              </w:tc>
                              <w:tc>
                                <w:tcPr>
                                  <w:tcW w:w="1701" w:type="dxa"/>
                                  <w:shd w:val="clear" w:color="auto" w:fill="BDD6EE" w:themeFill="accent1" w:themeFillTint="66"/>
                                </w:tcPr>
                                <w:p w:rsidR="00500504" w:rsidRPr="00E87974" w:rsidP="000F648E">
                                  <w:pPr>
                                    <w:jc w:val="both"/>
                                    <w:rPr>
                                      <w:b/>
                                      <w:sz w:val="16"/>
                                      <w:szCs w:val="16"/>
                                    </w:rPr>
                                  </w:pPr>
                                </w:p>
                              </w:tc>
                              <w:tc>
                                <w:tcPr>
                                  <w:tcW w:w="1781" w:type="dxa"/>
                                  <w:shd w:val="clear" w:color="auto" w:fill="BDD6EE" w:themeFill="accent1" w:themeFillTint="66"/>
                                </w:tcPr>
                                <w:p w:rsidR="00500504" w:rsidRPr="00E87974" w:rsidP="000F648E">
                                  <w:pPr>
                                    <w:jc w:val="both"/>
                                    <w:rPr>
                                      <w:b/>
                                      <w:sz w:val="16"/>
                                      <w:szCs w:val="16"/>
                                    </w:rPr>
                                  </w:pPr>
                                </w:p>
                              </w:tc>
                            </w:tr>
                            <w:tr w:rsidTr="009E49B3">
                              <w:tblPrEx>
                                <w:tblW w:w="5000" w:type="pct"/>
                                <w:tblLayout w:type="fixed"/>
                                <w:tblLook w:val="04A0"/>
                              </w:tblPrEx>
                              <w:tc>
                                <w:tcPr>
                                  <w:tcW w:w="4390" w:type="dxa"/>
                                </w:tcPr>
                                <w:p w:rsidR="00500504" w:rsidRPr="00E87974" w:rsidP="000F648E">
                                  <w:pPr>
                                    <w:jc w:val="both"/>
                                    <w:rPr>
                                      <w:sz w:val="16"/>
                                      <w:szCs w:val="16"/>
                                    </w:rPr>
                                  </w:pPr>
                                  <w:r w:rsidRPr="00E87974">
                                    <w:rPr>
                                      <w:sz w:val="16"/>
                                      <w:szCs w:val="16"/>
                                    </w:rPr>
                                    <w:t>Bamber Bridge/City Centre</w:t>
                                  </w:r>
                                </w:p>
                              </w:tc>
                              <w:tc>
                                <w:tcPr>
                                  <w:tcW w:w="708" w:type="dxa"/>
                                  <w:shd w:val="clear" w:color="auto" w:fill="FFC000" w:themeFill="accent4"/>
                                  <w:vAlign w:val="center"/>
                                </w:tcPr>
                                <w:p w:rsidR="00500504" w:rsidRPr="00E87974" w:rsidP="000F648E">
                                  <w:pPr>
                                    <w:jc w:val="both"/>
                                    <w:rPr>
                                      <w:sz w:val="16"/>
                                      <w:szCs w:val="16"/>
                                    </w:rPr>
                                  </w:pPr>
                                </w:p>
                              </w:tc>
                              <w:tc>
                                <w:tcPr>
                                  <w:tcW w:w="1701" w:type="dxa"/>
                                </w:tcPr>
                                <w:p w:rsidR="00500504" w:rsidRPr="00E87974" w:rsidP="000F648E">
                                  <w:pPr>
                                    <w:jc w:val="both"/>
                                    <w:rPr>
                                      <w:sz w:val="16"/>
                                      <w:szCs w:val="16"/>
                                    </w:rPr>
                                  </w:pPr>
                                  <w:r w:rsidRPr="00E87974">
                                    <w:rPr>
                                      <w:sz w:val="16"/>
                                      <w:szCs w:val="16"/>
                                    </w:rPr>
                                    <w:t>On site</w:t>
                                  </w:r>
                                  <w:r>
                                    <w:rPr>
                                      <w:sz w:val="16"/>
                                      <w:szCs w:val="16"/>
                                    </w:rPr>
                                    <w:t>/site complete</w:t>
                                  </w:r>
                                </w:p>
                              </w:tc>
                              <w:tc>
                                <w:tcPr>
                                  <w:tcW w:w="1781" w:type="dxa"/>
                                </w:tcPr>
                                <w:p w:rsidR="00500504" w:rsidRPr="00E87974" w:rsidP="000F648E">
                                  <w:pPr>
                                    <w:jc w:val="both"/>
                                    <w:rPr>
                                      <w:sz w:val="16"/>
                                      <w:szCs w:val="16"/>
                                    </w:rPr>
                                  </w:pPr>
                                  <w:r>
                                    <w:rPr>
                                      <w:sz w:val="16"/>
                                      <w:szCs w:val="16"/>
                                    </w:rPr>
                                    <w:t>Delivery delay</w:t>
                                  </w:r>
                                </w:p>
                              </w:tc>
                            </w:tr>
                            <w:tr w:rsidTr="009E49B3">
                              <w:tblPrEx>
                                <w:tblW w:w="5000" w:type="pct"/>
                                <w:tblLayout w:type="fixed"/>
                                <w:tblLook w:val="04A0"/>
                              </w:tblPrEx>
                              <w:tc>
                                <w:tcPr>
                                  <w:tcW w:w="4390" w:type="dxa"/>
                                  <w:shd w:val="clear" w:color="auto" w:fill="BDD6EE" w:themeFill="accent1" w:themeFillTint="66"/>
                                </w:tcPr>
                                <w:p w:rsidR="00500504" w:rsidRPr="00E87974" w:rsidP="000F648E">
                                  <w:pPr>
                                    <w:jc w:val="both"/>
                                    <w:rPr>
                                      <w:b/>
                                      <w:sz w:val="16"/>
                                      <w:szCs w:val="16"/>
                                    </w:rPr>
                                  </w:pPr>
                                  <w:r w:rsidRPr="00E87974">
                                    <w:rPr>
                                      <w:b/>
                                      <w:sz w:val="16"/>
                                      <w:szCs w:val="16"/>
                                    </w:rPr>
                                    <w:t>None Zone specific</w:t>
                                  </w:r>
                                </w:p>
                              </w:tc>
                              <w:tc>
                                <w:tcPr>
                                  <w:tcW w:w="708" w:type="dxa"/>
                                  <w:shd w:val="clear" w:color="auto" w:fill="BDD6EE" w:themeFill="accent1" w:themeFillTint="66"/>
                                  <w:vAlign w:val="center"/>
                                </w:tcPr>
                                <w:p w:rsidR="00500504" w:rsidRPr="00E87974" w:rsidP="000F648E">
                                  <w:pPr>
                                    <w:jc w:val="both"/>
                                    <w:rPr>
                                      <w:b/>
                                      <w:sz w:val="16"/>
                                      <w:szCs w:val="16"/>
                                    </w:rPr>
                                  </w:pPr>
                                </w:p>
                              </w:tc>
                              <w:tc>
                                <w:tcPr>
                                  <w:tcW w:w="1701" w:type="dxa"/>
                                  <w:shd w:val="clear" w:color="auto" w:fill="BDD6EE" w:themeFill="accent1" w:themeFillTint="66"/>
                                </w:tcPr>
                                <w:p w:rsidR="00500504" w:rsidRPr="00E87974" w:rsidP="000F648E">
                                  <w:pPr>
                                    <w:jc w:val="both"/>
                                    <w:rPr>
                                      <w:b/>
                                      <w:sz w:val="16"/>
                                      <w:szCs w:val="16"/>
                                    </w:rPr>
                                  </w:pPr>
                                </w:p>
                              </w:tc>
                              <w:tc>
                                <w:tcPr>
                                  <w:tcW w:w="1781" w:type="dxa"/>
                                  <w:shd w:val="clear" w:color="auto" w:fill="BDD6EE" w:themeFill="accent1" w:themeFillTint="66"/>
                                </w:tcPr>
                                <w:p w:rsidR="00500504" w:rsidRPr="00E87974" w:rsidP="000F648E">
                                  <w:pPr>
                                    <w:jc w:val="both"/>
                                    <w:rPr>
                                      <w:b/>
                                      <w:sz w:val="16"/>
                                      <w:szCs w:val="16"/>
                                    </w:rPr>
                                  </w:pPr>
                                </w:p>
                              </w:tc>
                            </w:tr>
                            <w:tr w:rsidTr="009E49B3">
                              <w:tblPrEx>
                                <w:tblW w:w="5000" w:type="pct"/>
                                <w:tblLayout w:type="fixed"/>
                                <w:tblLook w:val="04A0"/>
                              </w:tblPrEx>
                              <w:tc>
                                <w:tcPr>
                                  <w:tcW w:w="4390" w:type="dxa"/>
                                </w:tcPr>
                                <w:p w:rsidR="00500504" w:rsidRPr="008A0ACC" w:rsidP="007D7779">
                                  <w:pPr>
                                    <w:jc w:val="both"/>
                                    <w:rPr>
                                      <w:sz w:val="16"/>
                                      <w:szCs w:val="16"/>
                                    </w:rPr>
                                  </w:pPr>
                                  <w:r w:rsidRPr="008A0ACC">
                                    <w:rPr>
                                      <w:sz w:val="16"/>
                                      <w:szCs w:val="16"/>
                                    </w:rPr>
                                    <w:t xml:space="preserve">Corridors </w:t>
                                  </w:r>
                                  <w:r>
                                    <w:rPr>
                                      <w:sz w:val="16"/>
                                      <w:szCs w:val="16"/>
                                    </w:rPr>
                                    <w:t xml:space="preserve">and local centres </w:t>
                                  </w:r>
                                  <w:r w:rsidRPr="008A0ACC">
                                    <w:rPr>
                                      <w:sz w:val="16"/>
                                      <w:szCs w:val="16"/>
                                    </w:rPr>
                                    <w:t xml:space="preserve">master planning </w:t>
                                  </w:r>
                                </w:p>
                              </w:tc>
                              <w:tc>
                                <w:tcPr>
                                  <w:tcW w:w="708" w:type="dxa"/>
                                  <w:shd w:val="clear" w:color="auto" w:fill="FFC000" w:themeFill="accent4"/>
                                  <w:vAlign w:val="center"/>
                                </w:tcPr>
                                <w:p w:rsidR="00500504" w:rsidRPr="008A0ACC" w:rsidP="000F648E">
                                  <w:pPr>
                                    <w:jc w:val="both"/>
                                    <w:rPr>
                                      <w:sz w:val="16"/>
                                      <w:szCs w:val="16"/>
                                    </w:rPr>
                                  </w:pPr>
                                </w:p>
                              </w:tc>
                              <w:tc>
                                <w:tcPr>
                                  <w:tcW w:w="1701" w:type="dxa"/>
                                </w:tcPr>
                                <w:p w:rsidR="00500504" w:rsidRPr="008A0ACC" w:rsidP="000F648E">
                                  <w:pPr>
                                    <w:jc w:val="both"/>
                                    <w:rPr>
                                      <w:sz w:val="16"/>
                                      <w:szCs w:val="16"/>
                                    </w:rPr>
                                  </w:pPr>
                                  <w:r>
                                    <w:rPr>
                                      <w:sz w:val="16"/>
                                      <w:szCs w:val="16"/>
                                    </w:rPr>
                                    <w:t>U</w:t>
                                  </w:r>
                                  <w:r w:rsidRPr="008A0ACC">
                                    <w:rPr>
                                      <w:sz w:val="16"/>
                                      <w:szCs w:val="16"/>
                                    </w:rPr>
                                    <w:t>nderway</w:t>
                                  </w:r>
                                </w:p>
                              </w:tc>
                              <w:tc>
                                <w:tcPr>
                                  <w:tcW w:w="1781" w:type="dxa"/>
                                </w:tcPr>
                                <w:p w:rsidR="00500504" w:rsidRPr="008A0ACC" w:rsidP="000F648E">
                                  <w:pPr>
                                    <w:jc w:val="both"/>
                                    <w:rPr>
                                      <w:sz w:val="16"/>
                                      <w:szCs w:val="16"/>
                                    </w:rPr>
                                  </w:pPr>
                                  <w:r>
                                    <w:rPr>
                                      <w:sz w:val="16"/>
                                      <w:szCs w:val="16"/>
                                    </w:rPr>
                                    <w:t>Officer resources</w:t>
                                  </w:r>
                                </w:p>
                              </w:tc>
                            </w:tr>
                            <w:tr w:rsidTr="009E49B3">
                              <w:tblPrEx>
                                <w:tblW w:w="5000" w:type="pct"/>
                                <w:tblLayout w:type="fixed"/>
                                <w:tblLook w:val="04A0"/>
                              </w:tblPrEx>
                              <w:tc>
                                <w:tcPr>
                                  <w:tcW w:w="4390" w:type="dxa"/>
                                </w:tcPr>
                                <w:p w:rsidR="00500504" w:rsidRPr="008A0ACC" w:rsidP="000F648E">
                                  <w:pPr>
                                    <w:jc w:val="both"/>
                                    <w:rPr>
                                      <w:sz w:val="16"/>
                                      <w:szCs w:val="16"/>
                                    </w:rPr>
                                  </w:pPr>
                                  <w:r>
                                    <w:rPr>
                                      <w:sz w:val="16"/>
                                      <w:szCs w:val="16"/>
                                    </w:rPr>
                                    <w:t>Cycling and walking delivery plan</w:t>
                                  </w:r>
                                </w:p>
                              </w:tc>
                              <w:tc>
                                <w:tcPr>
                                  <w:tcW w:w="708" w:type="dxa"/>
                                  <w:shd w:val="clear" w:color="auto" w:fill="FFC000" w:themeFill="accent4"/>
                                  <w:vAlign w:val="center"/>
                                </w:tcPr>
                                <w:p w:rsidR="00500504" w:rsidRPr="008A0ACC" w:rsidP="000F648E">
                                  <w:pPr>
                                    <w:jc w:val="both"/>
                                    <w:rPr>
                                      <w:sz w:val="16"/>
                                      <w:szCs w:val="16"/>
                                    </w:rPr>
                                  </w:pPr>
                                </w:p>
                              </w:tc>
                              <w:tc>
                                <w:tcPr>
                                  <w:tcW w:w="1701" w:type="dxa"/>
                                </w:tcPr>
                                <w:p w:rsidR="00500504" w:rsidRPr="008A0ACC" w:rsidP="000F648E">
                                  <w:pPr>
                                    <w:jc w:val="both"/>
                                    <w:rPr>
                                      <w:sz w:val="16"/>
                                      <w:szCs w:val="16"/>
                                    </w:rPr>
                                  </w:pPr>
                                  <w:r>
                                    <w:rPr>
                                      <w:sz w:val="16"/>
                                      <w:szCs w:val="16"/>
                                    </w:rPr>
                                    <w:t>U</w:t>
                                  </w:r>
                                  <w:r>
                                    <w:rPr>
                                      <w:sz w:val="16"/>
                                      <w:szCs w:val="16"/>
                                    </w:rPr>
                                    <w:t>nderway</w:t>
                                  </w:r>
                                </w:p>
                              </w:tc>
                              <w:tc>
                                <w:tcPr>
                                  <w:tcW w:w="1781" w:type="dxa"/>
                                </w:tcPr>
                                <w:p w:rsidR="00500504" w:rsidP="000F648E">
                                  <w:pPr>
                                    <w:jc w:val="both"/>
                                    <w:rPr>
                                      <w:sz w:val="16"/>
                                      <w:szCs w:val="16"/>
                                    </w:rPr>
                                  </w:pPr>
                                  <w:r>
                                    <w:rPr>
                                      <w:sz w:val="16"/>
                                      <w:szCs w:val="16"/>
                                    </w:rPr>
                                    <w:t>Officer resources</w:t>
                                  </w:r>
                                </w:p>
                              </w:tc>
                            </w:tr>
                          </w:tbl>
                          <w:p w:rsidR="00806603" w:rsidP="000F648E">
                            <w:pPr>
                              <w:spacing w:after="0" w:line="240" w:lineRule="auto"/>
                              <w:jc w:val="both"/>
                              <w:rPr>
                                <w:color w:val="0099CC"/>
                                <w:sz w:val="18"/>
                                <w:szCs w:val="18"/>
                              </w:rPr>
                            </w:pPr>
                          </w:p>
                          <w:tbl>
                            <w:tblPr>
                              <w:tblStyle w:val="TableGrid"/>
                              <w:tblW w:w="8500" w:type="dxa"/>
                              <w:tblLayout w:type="fixed"/>
                              <w:tblLook w:val="04A0"/>
                            </w:tblPr>
                            <w:tblGrid>
                              <w:gridCol w:w="8500"/>
                            </w:tblGrid>
                            <w:tr w:rsidTr="00A2125B">
                              <w:tblPrEx>
                                <w:tblW w:w="8500" w:type="dxa"/>
                                <w:tblLayout w:type="fixed"/>
                                <w:tblLook w:val="04A0"/>
                              </w:tblPrEx>
                              <w:tc>
                                <w:tcPr>
                                  <w:tcW w:w="8500" w:type="dxa"/>
                                  <w:shd w:val="clear" w:color="auto" w:fill="BDD6EE" w:themeFill="accent1" w:themeFillTint="66"/>
                                </w:tcPr>
                                <w:p w:rsidR="00A2125B" w:rsidRPr="00A2125B" w:rsidP="00167372">
                                  <w:pPr>
                                    <w:jc w:val="both"/>
                                    <w:rPr>
                                      <w:b/>
                                      <w:sz w:val="16"/>
                                      <w:szCs w:val="16"/>
                                    </w:rPr>
                                  </w:pPr>
                                  <w:r w:rsidRPr="00A2125B">
                                    <w:rPr>
                                      <w:b/>
                                      <w:sz w:val="20"/>
                                      <w:szCs w:val="20"/>
                                    </w:rPr>
                                    <w:t xml:space="preserve">Projects completed </w:t>
                                  </w:r>
                                  <w:r w:rsidR="00167372">
                                    <w:rPr>
                                      <w:b/>
                                      <w:sz w:val="20"/>
                                      <w:szCs w:val="20"/>
                                    </w:rPr>
                                    <w:t>this quarter</w:t>
                                  </w:r>
                                  <w:r w:rsidRPr="00A2125B">
                                    <w:rPr>
                                      <w:b/>
                                      <w:sz w:val="20"/>
                                      <w:szCs w:val="20"/>
                                    </w:rPr>
                                    <w:t xml:space="preserve"> </w:t>
                                  </w:r>
                                  <w:r w:rsidR="00921EC7">
                                    <w:rPr>
                                      <w:b/>
                                      <w:sz w:val="20"/>
                                      <w:szCs w:val="20"/>
                                    </w:rPr>
                                    <w:t xml:space="preserve"> or removed from programme</w:t>
                                  </w:r>
                                </w:p>
                              </w:tc>
                            </w:tr>
                            <w:tr w:rsidTr="00A2125B">
                              <w:tblPrEx>
                                <w:tblW w:w="8500" w:type="dxa"/>
                                <w:tblLayout w:type="fixed"/>
                                <w:tblLook w:val="04A0"/>
                              </w:tblPrEx>
                              <w:tc>
                                <w:tcPr>
                                  <w:tcW w:w="8500" w:type="dxa"/>
                                </w:tcPr>
                                <w:p w:rsidR="00A2125B" w:rsidRPr="00E87974" w:rsidP="00167372">
                                  <w:pPr>
                                    <w:jc w:val="both"/>
                                    <w:rPr>
                                      <w:sz w:val="16"/>
                                      <w:szCs w:val="16"/>
                                    </w:rPr>
                                  </w:pPr>
                                  <w:r w:rsidRPr="008A0ACC">
                                    <w:rPr>
                                      <w:sz w:val="16"/>
                                      <w:szCs w:val="16"/>
                                    </w:rPr>
                                    <w:t>Preston Bus Station – concrete repairs/car park</w:t>
                                  </w:r>
                                  <w:r>
                                    <w:rPr>
                                      <w:sz w:val="16"/>
                                      <w:szCs w:val="16"/>
                                    </w:rPr>
                                    <w:t xml:space="preserve"> </w:t>
                                  </w:r>
                                </w:p>
                              </w:tc>
                            </w:tr>
                            <w:tr w:rsidTr="00A2125B">
                              <w:tblPrEx>
                                <w:tblW w:w="8500" w:type="dxa"/>
                                <w:tblLayout w:type="fixed"/>
                                <w:tblLook w:val="04A0"/>
                              </w:tblPrEx>
                              <w:tc>
                                <w:tcPr>
                                  <w:tcW w:w="8500" w:type="dxa"/>
                                </w:tcPr>
                                <w:p w:rsidR="00A2125B" w:rsidRPr="00E87974" w:rsidP="0021252F">
                                  <w:pPr>
                                    <w:jc w:val="both"/>
                                    <w:rPr>
                                      <w:sz w:val="16"/>
                                      <w:szCs w:val="16"/>
                                    </w:rPr>
                                  </w:pPr>
                                  <w:r w:rsidRPr="008A0ACC">
                                    <w:rPr>
                                      <w:sz w:val="16"/>
                                      <w:szCs w:val="16"/>
                                    </w:rPr>
                                    <w:t>Preston Bus Station – refurb of concourse</w:t>
                                  </w:r>
                                </w:p>
                              </w:tc>
                            </w:tr>
                            <w:tr w:rsidTr="00A2125B">
                              <w:tblPrEx>
                                <w:tblW w:w="8500" w:type="dxa"/>
                                <w:tblLayout w:type="fixed"/>
                                <w:tblLook w:val="04A0"/>
                              </w:tblPrEx>
                              <w:tc>
                                <w:tcPr>
                                  <w:tcW w:w="8500" w:type="dxa"/>
                                </w:tcPr>
                                <w:p w:rsidR="00167372" w:rsidRPr="00E87974" w:rsidP="001B0001">
                                  <w:pPr>
                                    <w:jc w:val="both"/>
                                    <w:rPr>
                                      <w:sz w:val="16"/>
                                      <w:szCs w:val="16"/>
                                    </w:rPr>
                                  </w:pPr>
                                  <w:r w:rsidRPr="008A0ACC">
                                    <w:rPr>
                                      <w:sz w:val="16"/>
                                      <w:szCs w:val="16"/>
                                    </w:rPr>
                                    <w:t xml:space="preserve">Preston </w:t>
                                  </w:r>
                                  <w:r w:rsidR="001B0001">
                                    <w:rPr>
                                      <w:sz w:val="16"/>
                                      <w:szCs w:val="16"/>
                                    </w:rPr>
                                    <w:t>B</w:t>
                                  </w:r>
                                  <w:r w:rsidRPr="008A0ACC">
                                    <w:rPr>
                                      <w:sz w:val="16"/>
                                      <w:szCs w:val="16"/>
                                    </w:rPr>
                                    <w:t>us Station – on site highways works</w:t>
                                  </w:r>
                                </w:p>
                              </w:tc>
                            </w:tr>
                            <w:tr w:rsidTr="00A2125B">
                              <w:tblPrEx>
                                <w:tblW w:w="8500" w:type="dxa"/>
                                <w:tblLayout w:type="fixed"/>
                                <w:tblLook w:val="04A0"/>
                              </w:tblPrEx>
                              <w:tc>
                                <w:tcPr>
                                  <w:tcW w:w="8500" w:type="dxa"/>
                                </w:tcPr>
                                <w:p w:rsidR="00A2125B" w:rsidRPr="00E87974" w:rsidP="001A2059">
                                  <w:pPr>
                                    <w:jc w:val="both"/>
                                    <w:rPr>
                                      <w:sz w:val="16"/>
                                      <w:szCs w:val="16"/>
                                    </w:rPr>
                                  </w:pPr>
                                  <w:r>
                                    <w:rPr>
                                      <w:sz w:val="16"/>
                                      <w:szCs w:val="16"/>
                                    </w:rPr>
                                    <w:t xml:space="preserve">Preston </w:t>
                                  </w:r>
                                  <w:r w:rsidR="001A2059">
                                    <w:rPr>
                                      <w:sz w:val="16"/>
                                      <w:szCs w:val="16"/>
                                    </w:rPr>
                                    <w:t>B</w:t>
                                  </w:r>
                                  <w:r>
                                    <w:rPr>
                                      <w:sz w:val="16"/>
                                      <w:szCs w:val="16"/>
                                    </w:rPr>
                                    <w:t>us station – Youth Zone – removed from programme</w:t>
                                  </w:r>
                                </w:p>
                              </w:tc>
                            </w:tr>
                          </w:tbl>
                          <w:p w:rsidR="0021252F" w:rsidP="000F648E">
                            <w:pPr>
                              <w:spacing w:after="0" w:line="240" w:lineRule="auto"/>
                              <w:jc w:val="both"/>
                              <w:rPr>
                                <w:color w:val="2E74B5" w:themeColor="accent1" w:themeShade="BF"/>
                                <w:sz w:val="18"/>
                                <w:szCs w:val="18"/>
                              </w:rPr>
                            </w:pPr>
                          </w:p>
                          <w:tbl>
                            <w:tblPr>
                              <w:tblStyle w:val="TableGrid"/>
                              <w:tblW w:w="8500" w:type="dxa"/>
                              <w:tblLayout w:type="fixed"/>
                              <w:tblLook w:val="04A0"/>
                            </w:tblPr>
                            <w:tblGrid>
                              <w:gridCol w:w="8500"/>
                            </w:tblGrid>
                            <w:tr w:rsidTr="000D0DFE">
                              <w:tblPrEx>
                                <w:tblW w:w="8500" w:type="dxa"/>
                                <w:tblLayout w:type="fixed"/>
                                <w:tblLook w:val="04A0"/>
                              </w:tblPrEx>
                              <w:tc>
                                <w:tcPr>
                                  <w:tcW w:w="8500" w:type="dxa"/>
                                  <w:shd w:val="clear" w:color="auto" w:fill="BDD6EE" w:themeFill="accent1" w:themeFillTint="66"/>
                                </w:tcPr>
                                <w:p w:rsidR="00F71DD6" w:rsidRPr="00A2125B" w:rsidP="00376F1E">
                                  <w:pPr>
                                    <w:jc w:val="both"/>
                                    <w:rPr>
                                      <w:b/>
                                      <w:sz w:val="16"/>
                                      <w:szCs w:val="16"/>
                                    </w:rPr>
                                  </w:pPr>
                                  <w:r>
                                    <w:rPr>
                                      <w:b/>
                                      <w:sz w:val="20"/>
                                      <w:szCs w:val="20"/>
                                    </w:rPr>
                                    <w:t xml:space="preserve">Infrastructure </w:t>
                                  </w:r>
                                  <w:r>
                                    <w:rPr>
                                      <w:b/>
                                      <w:sz w:val="20"/>
                                      <w:szCs w:val="20"/>
                                    </w:rPr>
                                    <w:t xml:space="preserve">Investment </w:t>
                                  </w:r>
                                  <w:r>
                                    <w:rPr>
                                      <w:b/>
                                      <w:sz w:val="20"/>
                                      <w:szCs w:val="20"/>
                                    </w:rPr>
                                    <w:t xml:space="preserve"> </w:t>
                                  </w:r>
                                  <w:r w:rsidR="00376F1E">
                                    <w:rPr>
                                      <w:b/>
                                      <w:sz w:val="20"/>
                                      <w:szCs w:val="20"/>
                                    </w:rPr>
                                    <w:t>in City Deal</w:t>
                                  </w:r>
                                  <w:r>
                                    <w:rPr>
                                      <w:b/>
                                      <w:sz w:val="20"/>
                                      <w:szCs w:val="20"/>
                                    </w:rPr>
                                    <w:t xml:space="preserve"> – </w:t>
                                  </w:r>
                                  <w:r w:rsidR="00376F1E">
                                    <w:rPr>
                                      <w:b/>
                                      <w:sz w:val="20"/>
                                      <w:szCs w:val="20"/>
                                    </w:rPr>
                                    <w:t xml:space="preserve"> other emerging </w:t>
                                  </w:r>
                                  <w:r>
                                    <w:rPr>
                                      <w:b/>
                                      <w:sz w:val="20"/>
                                      <w:szCs w:val="20"/>
                                    </w:rPr>
                                    <w:t>schemes</w:t>
                                  </w:r>
                                </w:p>
                              </w:tc>
                            </w:tr>
                            <w:tr w:rsidTr="000D0DFE">
                              <w:tblPrEx>
                                <w:tblW w:w="8500" w:type="dxa"/>
                                <w:tblLayout w:type="fixed"/>
                                <w:tblLook w:val="04A0"/>
                              </w:tblPrEx>
                              <w:tc>
                                <w:tcPr>
                                  <w:tcW w:w="8500" w:type="dxa"/>
                                </w:tcPr>
                                <w:p w:rsidR="00F71DD6" w:rsidRPr="00E87974" w:rsidP="00F71DD6">
                                  <w:pPr>
                                    <w:jc w:val="both"/>
                                    <w:rPr>
                                      <w:sz w:val="16"/>
                                      <w:szCs w:val="16"/>
                                    </w:rPr>
                                  </w:pPr>
                                  <w:r>
                                    <w:rPr>
                                      <w:sz w:val="16"/>
                                      <w:szCs w:val="16"/>
                                    </w:rPr>
                                    <w:t xml:space="preserve">Pickering's Farm Link Road </w:t>
                                  </w:r>
                                </w:p>
                              </w:tc>
                            </w:tr>
                            <w:tr w:rsidTr="000D0DFE">
                              <w:tblPrEx>
                                <w:tblW w:w="8500" w:type="dxa"/>
                                <w:tblLayout w:type="fixed"/>
                                <w:tblLook w:val="04A0"/>
                              </w:tblPrEx>
                              <w:tc>
                                <w:tcPr>
                                  <w:tcW w:w="8500" w:type="dxa"/>
                                </w:tcPr>
                                <w:p w:rsidR="00F71DD6" w:rsidRPr="00E87974" w:rsidP="00F71DD6">
                                  <w:pPr>
                                    <w:jc w:val="both"/>
                                    <w:rPr>
                                      <w:sz w:val="16"/>
                                      <w:szCs w:val="16"/>
                                    </w:rPr>
                                  </w:pPr>
                                  <w:r>
                                    <w:rPr>
                                      <w:sz w:val="16"/>
                                      <w:szCs w:val="16"/>
                                    </w:rPr>
                                    <w:t>Moss Side Test Track Road infrastructure</w:t>
                                  </w:r>
                                </w:p>
                              </w:tc>
                            </w:tr>
                          </w:tbl>
                          <w:p w:rsidR="00F71DD6" w:rsidP="000F648E">
                            <w:pPr>
                              <w:spacing w:after="0" w:line="240" w:lineRule="auto"/>
                              <w:jc w:val="both"/>
                              <w:rPr>
                                <w:color w:val="2E74B5" w:themeColor="accent1" w:themeShade="BF"/>
                                <w:sz w:val="18"/>
                                <w:szCs w:val="18"/>
                              </w:rPr>
                            </w:pPr>
                          </w:p>
                          <w:p w:rsidR="00C525DB" w:rsidP="000F648E">
                            <w:pPr>
                              <w:spacing w:after="0" w:line="240" w:lineRule="auto"/>
                              <w:jc w:val="both"/>
                              <w:rPr>
                                <w:color w:val="2E74B5" w:themeColor="accent1" w:themeShade="BF"/>
                                <w:sz w:val="18"/>
                                <w:szCs w:val="18"/>
                              </w:rPr>
                            </w:pPr>
                          </w:p>
                          <w:p w:rsidR="001D26E0" w:rsidRPr="00806603" w:rsidP="000F648E">
                            <w:pPr>
                              <w:spacing w:after="0" w:line="240" w:lineRule="auto"/>
                              <w:jc w:val="both"/>
                              <w:rPr>
                                <w:b/>
                                <w:color w:val="0099CC"/>
                                <w:sz w:val="18"/>
                                <w:szCs w:val="18"/>
                              </w:rPr>
                            </w:pPr>
                          </w:p>
                          <w:p w:rsidR="001D26E0" w:rsidRPr="00806603" w:rsidP="00FB12D8">
                            <w:pPr>
                              <w:spacing w:after="0" w:line="240" w:lineRule="auto"/>
                              <w:rPr>
                                <w:rFonts w:ascii="Arial" w:hAnsi="Arial" w:cs="Arial"/>
                                <w:b/>
                                <w:color w:val="70AD47" w:themeColor="accent6"/>
                                <w:sz w:val="18"/>
                                <w:szCs w:val="18"/>
                              </w:rPr>
                            </w:pPr>
                          </w:p>
                          <w:p w:rsidR="001D26E0" w:rsidRPr="005914C7" w:rsidP="005914C7">
                            <w:pPr>
                              <w:pStyle w:val="ListParagraph"/>
                              <w:spacing w:after="0" w:line="240" w:lineRule="auto"/>
                              <w:rPr>
                                <w:sz w:val="20"/>
                                <w:szCs w:val="20"/>
                              </w:rPr>
                            </w:pPr>
                          </w:p>
                          <w:p w:rsidR="001D26E0" w:rsidP="000F648E"/>
                          <w:p w:rsidR="001D26E0" w:rsidRPr="00151796" w:rsidP="000F648E"/>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45" o:spid="_x0000_s1029" style="width:446.55pt;height:444.45pt;margin-top:42.5pt;margin-left:-12.95pt;mso-height-percent:0;mso-height-relative:margin;mso-width-percent:0;mso-width-relative:margin;mso-wrap-distance-bottom:0;mso-wrap-distance-left:9pt;mso-wrap-distance-right:9pt;mso-wrap-distance-top:0;mso-wrap-style:square;position:absolute;visibility:visible;v-text-anchor:top;z-index:251663360" arcsize="598f" fillcolor="window" strokecolor="#5b9bd5" strokeweight="1pt">
                <v:stroke joinstyle="miter"/>
                <v:textbox>
                  <w:txbxContent>
                    <w:p w:rsidR="001D26E0" w:rsidRPr="00A20199" w:rsidP="000F648E">
                      <w:pPr>
                        <w:spacing w:after="0" w:line="240" w:lineRule="auto"/>
                        <w:jc w:val="both"/>
                        <w:rPr>
                          <w:b/>
                          <w:color w:val="5B9BD5" w:themeColor="accent1"/>
                          <w:sz w:val="20"/>
                          <w:szCs w:val="20"/>
                        </w:rPr>
                      </w:pPr>
                      <w:r w:rsidRPr="00A20199">
                        <w:rPr>
                          <w:b/>
                          <w:color w:val="5B9BD5" w:themeColor="accent1"/>
                          <w:sz w:val="20"/>
                          <w:szCs w:val="20"/>
                        </w:rPr>
                        <w:t xml:space="preserve">City Deal </w:t>
                      </w:r>
                      <w:r w:rsidRPr="00A20199" w:rsidR="00027A30">
                        <w:rPr>
                          <w:b/>
                          <w:color w:val="5B9BD5" w:themeColor="accent1"/>
                          <w:sz w:val="20"/>
                          <w:szCs w:val="20"/>
                        </w:rPr>
                        <w:t>infrastructure delivery</w:t>
                      </w:r>
                      <w:r w:rsidRPr="00A20199">
                        <w:rPr>
                          <w:b/>
                          <w:color w:val="5B9BD5" w:themeColor="accent1"/>
                          <w:sz w:val="20"/>
                          <w:szCs w:val="20"/>
                        </w:rPr>
                        <w:t xml:space="preserve"> – </w:t>
                      </w:r>
                      <w:r w:rsidRPr="00A20199" w:rsidR="00FF118C">
                        <w:rPr>
                          <w:b/>
                          <w:color w:val="5B9BD5" w:themeColor="accent1"/>
                          <w:sz w:val="20"/>
                          <w:szCs w:val="20"/>
                        </w:rPr>
                        <w:t xml:space="preserve">Overview of </w:t>
                      </w:r>
                      <w:r w:rsidRPr="00A20199">
                        <w:rPr>
                          <w:b/>
                          <w:color w:val="5B9BD5" w:themeColor="accent1"/>
                          <w:sz w:val="20"/>
                          <w:szCs w:val="20"/>
                        </w:rPr>
                        <w:t xml:space="preserve">progress against milestones </w:t>
                      </w:r>
                      <w:r w:rsidRPr="00A20199" w:rsidR="00627913">
                        <w:rPr>
                          <w:b/>
                          <w:color w:val="5B9BD5" w:themeColor="accent1"/>
                          <w:sz w:val="20"/>
                          <w:szCs w:val="20"/>
                        </w:rPr>
                        <w:t>for</w:t>
                      </w:r>
                      <w:r w:rsidRPr="00A20199" w:rsidR="00FF118C">
                        <w:rPr>
                          <w:b/>
                          <w:color w:val="5B9BD5" w:themeColor="accent1"/>
                          <w:sz w:val="20"/>
                          <w:szCs w:val="20"/>
                        </w:rPr>
                        <w:t xml:space="preserve"> </w:t>
                      </w:r>
                      <w:r w:rsidRPr="00A20199">
                        <w:rPr>
                          <w:b/>
                          <w:color w:val="5B9BD5" w:themeColor="accent1"/>
                          <w:sz w:val="20"/>
                          <w:szCs w:val="20"/>
                        </w:rPr>
                        <w:t xml:space="preserve">Quarter </w:t>
                      </w:r>
                      <w:r w:rsidR="00500504">
                        <w:rPr>
                          <w:b/>
                          <w:color w:val="5B9BD5" w:themeColor="accent1"/>
                          <w:sz w:val="20"/>
                          <w:szCs w:val="20"/>
                        </w:rPr>
                        <w:t>2</w:t>
                      </w:r>
                      <w:r w:rsidRPr="00A20199" w:rsidR="008A0ACC">
                        <w:rPr>
                          <w:b/>
                          <w:color w:val="5B9BD5" w:themeColor="accent1"/>
                          <w:sz w:val="20"/>
                          <w:szCs w:val="20"/>
                        </w:rPr>
                        <w:t xml:space="preserve"> – 2018/19</w:t>
                      </w:r>
                      <w:r w:rsidRPr="00A20199">
                        <w:rPr>
                          <w:b/>
                          <w:color w:val="5B9BD5" w:themeColor="accent1"/>
                          <w:sz w:val="20"/>
                          <w:szCs w:val="20"/>
                        </w:rPr>
                        <w:t xml:space="preserve"> </w:t>
                      </w:r>
                    </w:p>
                    <w:p w:rsidR="00FB12D8" w:rsidP="000F648E">
                      <w:pPr>
                        <w:spacing w:after="0" w:line="240" w:lineRule="auto"/>
                        <w:jc w:val="both"/>
                        <w:rPr>
                          <w:b/>
                          <w:color w:val="0099CC"/>
                        </w:rPr>
                      </w:pPr>
                    </w:p>
                    <w:tbl>
                      <w:tblPr>
                        <w:tblStyle w:val="TableGrid"/>
                        <w:tblW w:w="5000" w:type="pct"/>
                        <w:tblLayout w:type="fixed"/>
                        <w:tblLook w:val="04A0"/>
                      </w:tblPr>
                      <w:tblGrid>
                        <w:gridCol w:w="4406"/>
                        <w:gridCol w:w="711"/>
                        <w:gridCol w:w="1708"/>
                        <w:gridCol w:w="1788"/>
                      </w:tblGrid>
                      <w:tr w:rsidTr="009E49B3">
                        <w:tblPrEx>
                          <w:tblW w:w="5000" w:type="pct"/>
                          <w:tblLayout w:type="fixed"/>
                          <w:tblLook w:val="04A0"/>
                        </w:tblPrEx>
                        <w:tc>
                          <w:tcPr>
                            <w:tcW w:w="4390" w:type="dxa"/>
                          </w:tcPr>
                          <w:p w:rsidR="00500504" w:rsidRPr="00E87974" w:rsidP="000F648E">
                            <w:pPr>
                              <w:jc w:val="both"/>
                              <w:rPr>
                                <w:b/>
                                <w:sz w:val="16"/>
                                <w:szCs w:val="16"/>
                              </w:rPr>
                            </w:pPr>
                            <w:r w:rsidRPr="00E87974">
                              <w:rPr>
                                <w:b/>
                                <w:sz w:val="16"/>
                                <w:szCs w:val="16"/>
                              </w:rPr>
                              <w:t>Scheme name</w:t>
                            </w:r>
                          </w:p>
                        </w:tc>
                        <w:tc>
                          <w:tcPr>
                            <w:tcW w:w="708" w:type="dxa"/>
                            <w:vAlign w:val="center"/>
                          </w:tcPr>
                          <w:p w:rsidR="00500504" w:rsidRPr="00E87974" w:rsidP="000F648E">
                            <w:pPr>
                              <w:jc w:val="both"/>
                              <w:rPr>
                                <w:b/>
                                <w:sz w:val="16"/>
                                <w:szCs w:val="16"/>
                              </w:rPr>
                            </w:pPr>
                            <w:r>
                              <w:rPr>
                                <w:b/>
                                <w:sz w:val="16"/>
                                <w:szCs w:val="16"/>
                              </w:rPr>
                              <w:t>Project</w:t>
                            </w:r>
                            <w:r w:rsidRPr="00E87974">
                              <w:rPr>
                                <w:b/>
                                <w:sz w:val="16"/>
                                <w:szCs w:val="16"/>
                              </w:rPr>
                              <w:t xml:space="preserve"> RAG</w:t>
                            </w:r>
                          </w:p>
                        </w:tc>
                        <w:tc>
                          <w:tcPr>
                            <w:tcW w:w="1701" w:type="dxa"/>
                          </w:tcPr>
                          <w:p w:rsidR="00500504" w:rsidRPr="00E87974" w:rsidP="000F648E">
                            <w:pPr>
                              <w:jc w:val="both"/>
                              <w:rPr>
                                <w:b/>
                                <w:sz w:val="16"/>
                                <w:szCs w:val="16"/>
                              </w:rPr>
                            </w:pPr>
                            <w:r w:rsidRPr="00E87974">
                              <w:rPr>
                                <w:b/>
                                <w:sz w:val="16"/>
                                <w:szCs w:val="16"/>
                              </w:rPr>
                              <w:t>Stage</w:t>
                            </w:r>
                          </w:p>
                        </w:tc>
                        <w:tc>
                          <w:tcPr>
                            <w:tcW w:w="1781" w:type="dxa"/>
                          </w:tcPr>
                          <w:p w:rsidR="00500504" w:rsidRPr="00E87974" w:rsidP="00FE7578">
                            <w:pPr>
                              <w:jc w:val="both"/>
                              <w:rPr>
                                <w:b/>
                                <w:sz w:val="16"/>
                                <w:szCs w:val="16"/>
                              </w:rPr>
                            </w:pPr>
                            <w:r>
                              <w:rPr>
                                <w:b/>
                                <w:sz w:val="16"/>
                                <w:szCs w:val="16"/>
                              </w:rPr>
                              <w:t xml:space="preserve">Significant </w:t>
                            </w:r>
                            <w:r w:rsidR="009E49B3">
                              <w:rPr>
                                <w:b/>
                                <w:sz w:val="16"/>
                                <w:szCs w:val="16"/>
                              </w:rPr>
                              <w:t>Issues/</w:t>
                            </w:r>
                            <w:r w:rsidR="00FE7578">
                              <w:rPr>
                                <w:b/>
                                <w:sz w:val="16"/>
                                <w:szCs w:val="16"/>
                              </w:rPr>
                              <w:t>Risks</w:t>
                            </w:r>
                            <w:r>
                              <w:rPr>
                                <w:b/>
                                <w:sz w:val="16"/>
                                <w:szCs w:val="16"/>
                              </w:rPr>
                              <w:t>:</w:t>
                            </w:r>
                          </w:p>
                        </w:tc>
                      </w:tr>
                      <w:tr w:rsidTr="009E49B3">
                        <w:tblPrEx>
                          <w:tblW w:w="5000" w:type="pct"/>
                          <w:tblLayout w:type="fixed"/>
                          <w:tblLook w:val="04A0"/>
                        </w:tblPrEx>
                        <w:tc>
                          <w:tcPr>
                            <w:tcW w:w="4390" w:type="dxa"/>
                            <w:shd w:val="clear" w:color="auto" w:fill="BDD6EE" w:themeFill="accent1" w:themeFillTint="66"/>
                          </w:tcPr>
                          <w:p w:rsidR="00500504" w:rsidRPr="00E87974" w:rsidP="000F648E">
                            <w:pPr>
                              <w:jc w:val="both"/>
                              <w:rPr>
                                <w:b/>
                                <w:sz w:val="16"/>
                                <w:szCs w:val="16"/>
                              </w:rPr>
                            </w:pPr>
                            <w:r>
                              <w:rPr>
                                <w:b/>
                                <w:sz w:val="16"/>
                                <w:szCs w:val="16"/>
                              </w:rPr>
                              <w:t xml:space="preserve">City Deal </w:t>
                            </w:r>
                            <w:r w:rsidRPr="00E87974">
                              <w:rPr>
                                <w:b/>
                                <w:sz w:val="16"/>
                                <w:szCs w:val="16"/>
                              </w:rPr>
                              <w:t>Zone</w:t>
                            </w:r>
                            <w:r>
                              <w:rPr>
                                <w:b/>
                                <w:sz w:val="16"/>
                                <w:szCs w:val="16"/>
                              </w:rPr>
                              <w:t xml:space="preserve"> 1</w:t>
                            </w:r>
                            <w:r w:rsidRPr="00E87974">
                              <w:rPr>
                                <w:b/>
                                <w:sz w:val="16"/>
                                <w:szCs w:val="16"/>
                              </w:rPr>
                              <w:t>: North West Preston</w:t>
                            </w:r>
                          </w:p>
                        </w:tc>
                        <w:tc>
                          <w:tcPr>
                            <w:tcW w:w="708" w:type="dxa"/>
                            <w:shd w:val="clear" w:color="auto" w:fill="BDD6EE" w:themeFill="accent1" w:themeFillTint="66"/>
                            <w:vAlign w:val="center"/>
                          </w:tcPr>
                          <w:p w:rsidR="00500504" w:rsidRPr="00E87974" w:rsidP="000F648E">
                            <w:pPr>
                              <w:jc w:val="both"/>
                              <w:rPr>
                                <w:sz w:val="16"/>
                                <w:szCs w:val="16"/>
                              </w:rPr>
                            </w:pPr>
                          </w:p>
                        </w:tc>
                        <w:tc>
                          <w:tcPr>
                            <w:tcW w:w="1701" w:type="dxa"/>
                            <w:shd w:val="clear" w:color="auto" w:fill="BDD6EE" w:themeFill="accent1" w:themeFillTint="66"/>
                          </w:tcPr>
                          <w:p w:rsidR="00500504" w:rsidRPr="00E87974" w:rsidP="000F648E">
                            <w:pPr>
                              <w:jc w:val="both"/>
                              <w:rPr>
                                <w:sz w:val="16"/>
                                <w:szCs w:val="16"/>
                              </w:rPr>
                            </w:pPr>
                          </w:p>
                        </w:tc>
                        <w:tc>
                          <w:tcPr>
                            <w:tcW w:w="1781" w:type="dxa"/>
                            <w:shd w:val="clear" w:color="auto" w:fill="BDD6EE" w:themeFill="accent1" w:themeFillTint="66"/>
                          </w:tcPr>
                          <w:p w:rsidR="00500504" w:rsidRPr="00E87974" w:rsidP="000F648E">
                            <w:pPr>
                              <w:jc w:val="both"/>
                              <w:rPr>
                                <w:sz w:val="16"/>
                                <w:szCs w:val="16"/>
                              </w:rPr>
                            </w:pPr>
                          </w:p>
                        </w:tc>
                      </w:tr>
                      <w:tr w:rsidTr="00DD1F54">
                        <w:tblPrEx>
                          <w:tblW w:w="5000" w:type="pct"/>
                          <w:tblLayout w:type="fixed"/>
                          <w:tblLook w:val="04A0"/>
                        </w:tblPrEx>
                        <w:tc>
                          <w:tcPr>
                            <w:tcW w:w="4390" w:type="dxa"/>
                          </w:tcPr>
                          <w:p w:rsidR="00500504" w:rsidRPr="00E87974" w:rsidP="000F648E">
                            <w:pPr>
                              <w:jc w:val="both"/>
                              <w:rPr>
                                <w:sz w:val="16"/>
                                <w:szCs w:val="16"/>
                              </w:rPr>
                            </w:pPr>
                            <w:r w:rsidRPr="00E87974">
                              <w:rPr>
                                <w:sz w:val="16"/>
                                <w:szCs w:val="16"/>
                              </w:rPr>
                              <w:t>Preston Western Distributor (PWD)</w:t>
                            </w:r>
                            <w:r>
                              <w:rPr>
                                <w:sz w:val="16"/>
                                <w:szCs w:val="16"/>
                              </w:rPr>
                              <w:t>/East West Link Road</w:t>
                            </w:r>
                          </w:p>
                        </w:tc>
                        <w:tc>
                          <w:tcPr>
                            <w:tcW w:w="708" w:type="dxa"/>
                            <w:shd w:val="clear" w:color="auto" w:fill="FFC000" w:themeFill="accent4"/>
                            <w:vAlign w:val="center"/>
                          </w:tcPr>
                          <w:p w:rsidR="00500504" w:rsidRPr="00E87974" w:rsidP="000F648E">
                            <w:pPr>
                              <w:jc w:val="both"/>
                              <w:rPr>
                                <w:sz w:val="16"/>
                                <w:szCs w:val="16"/>
                              </w:rPr>
                            </w:pPr>
                          </w:p>
                        </w:tc>
                        <w:tc>
                          <w:tcPr>
                            <w:tcW w:w="1701" w:type="dxa"/>
                          </w:tcPr>
                          <w:p w:rsidR="00500504" w:rsidRPr="00E87974" w:rsidP="000F648E">
                            <w:pPr>
                              <w:jc w:val="both"/>
                              <w:rPr>
                                <w:sz w:val="16"/>
                                <w:szCs w:val="16"/>
                              </w:rPr>
                            </w:pPr>
                            <w:r>
                              <w:rPr>
                                <w:sz w:val="16"/>
                                <w:szCs w:val="16"/>
                              </w:rPr>
                              <w:t>Design/planning/land assembly/funding CPO</w:t>
                            </w:r>
                          </w:p>
                        </w:tc>
                        <w:tc>
                          <w:tcPr>
                            <w:tcW w:w="1781" w:type="dxa"/>
                          </w:tcPr>
                          <w:p w:rsidR="00500504" w:rsidP="000F648E">
                            <w:pPr>
                              <w:jc w:val="both"/>
                              <w:rPr>
                                <w:sz w:val="16"/>
                                <w:szCs w:val="16"/>
                              </w:rPr>
                            </w:pPr>
                            <w:r>
                              <w:rPr>
                                <w:sz w:val="16"/>
                                <w:szCs w:val="16"/>
                              </w:rPr>
                              <w:t>Land/funding/planning</w:t>
                            </w:r>
                          </w:p>
                        </w:tc>
                      </w:tr>
                      <w:tr w:rsidTr="009E49B3">
                        <w:tblPrEx>
                          <w:tblW w:w="5000" w:type="pct"/>
                          <w:tblLayout w:type="fixed"/>
                          <w:tblLook w:val="04A0"/>
                        </w:tblPrEx>
                        <w:tc>
                          <w:tcPr>
                            <w:tcW w:w="4390" w:type="dxa"/>
                          </w:tcPr>
                          <w:p w:rsidR="00500504" w:rsidRPr="00E87974" w:rsidP="007A3190">
                            <w:pPr>
                              <w:jc w:val="both"/>
                              <w:rPr>
                                <w:sz w:val="16"/>
                                <w:szCs w:val="16"/>
                              </w:rPr>
                            </w:pPr>
                            <w:r w:rsidRPr="00E87974">
                              <w:rPr>
                                <w:sz w:val="16"/>
                                <w:szCs w:val="16"/>
                              </w:rPr>
                              <w:t xml:space="preserve">Cottam Parkway </w:t>
                            </w:r>
                            <w:r>
                              <w:rPr>
                                <w:sz w:val="16"/>
                                <w:szCs w:val="16"/>
                              </w:rPr>
                              <w:t>(business case/grip 3)</w:t>
                            </w:r>
                          </w:p>
                        </w:tc>
                        <w:tc>
                          <w:tcPr>
                            <w:tcW w:w="708" w:type="dxa"/>
                            <w:shd w:val="clear" w:color="auto" w:fill="70AD47" w:themeFill="accent6"/>
                            <w:vAlign w:val="center"/>
                          </w:tcPr>
                          <w:p w:rsidR="00500504" w:rsidRPr="00E87974" w:rsidP="000F648E">
                            <w:pPr>
                              <w:jc w:val="both"/>
                              <w:rPr>
                                <w:sz w:val="16"/>
                                <w:szCs w:val="16"/>
                              </w:rPr>
                            </w:pPr>
                          </w:p>
                        </w:tc>
                        <w:tc>
                          <w:tcPr>
                            <w:tcW w:w="1701" w:type="dxa"/>
                          </w:tcPr>
                          <w:p w:rsidR="00500504" w:rsidRPr="00E87974" w:rsidP="000F648E">
                            <w:pPr>
                              <w:jc w:val="both"/>
                              <w:rPr>
                                <w:sz w:val="16"/>
                                <w:szCs w:val="16"/>
                              </w:rPr>
                            </w:pPr>
                            <w:r w:rsidRPr="00E87974">
                              <w:rPr>
                                <w:sz w:val="16"/>
                                <w:szCs w:val="16"/>
                              </w:rPr>
                              <w:t>Business case</w:t>
                            </w:r>
                          </w:p>
                        </w:tc>
                        <w:tc>
                          <w:tcPr>
                            <w:tcW w:w="1781" w:type="dxa"/>
                          </w:tcPr>
                          <w:p w:rsidR="00500504" w:rsidRPr="00E87974" w:rsidP="000F648E">
                            <w:pPr>
                              <w:jc w:val="both"/>
                              <w:rPr>
                                <w:sz w:val="16"/>
                                <w:szCs w:val="16"/>
                              </w:rPr>
                            </w:pPr>
                          </w:p>
                        </w:tc>
                      </w:tr>
                      <w:tr w:rsidTr="009E49B3">
                        <w:tblPrEx>
                          <w:tblW w:w="5000" w:type="pct"/>
                          <w:tblLayout w:type="fixed"/>
                          <w:tblLook w:val="04A0"/>
                        </w:tblPrEx>
                        <w:tc>
                          <w:tcPr>
                            <w:tcW w:w="4390" w:type="dxa"/>
                          </w:tcPr>
                          <w:p w:rsidR="00500504" w:rsidRPr="008A0ACC" w:rsidP="00A2014F">
                            <w:pPr>
                              <w:jc w:val="both"/>
                              <w:rPr>
                                <w:sz w:val="16"/>
                                <w:szCs w:val="16"/>
                              </w:rPr>
                            </w:pPr>
                            <w:r w:rsidRPr="008A0ACC">
                              <w:rPr>
                                <w:sz w:val="16"/>
                                <w:szCs w:val="16"/>
                              </w:rPr>
                              <w:t>Broughton/Fulwood (North of M55)</w:t>
                            </w:r>
                          </w:p>
                        </w:tc>
                        <w:tc>
                          <w:tcPr>
                            <w:tcW w:w="708" w:type="dxa"/>
                            <w:shd w:val="clear" w:color="auto" w:fill="70AD47" w:themeFill="accent6"/>
                          </w:tcPr>
                          <w:p w:rsidR="00500504" w:rsidRPr="008A0ACC" w:rsidP="00A2014F">
                            <w:pPr>
                              <w:jc w:val="both"/>
                              <w:rPr>
                                <w:sz w:val="16"/>
                                <w:szCs w:val="16"/>
                              </w:rPr>
                            </w:pPr>
                          </w:p>
                        </w:tc>
                        <w:tc>
                          <w:tcPr>
                            <w:tcW w:w="1701" w:type="dxa"/>
                          </w:tcPr>
                          <w:p w:rsidR="00500504" w:rsidRPr="008A0ACC" w:rsidP="00A2014F">
                            <w:pPr>
                              <w:jc w:val="both"/>
                              <w:rPr>
                                <w:sz w:val="16"/>
                                <w:szCs w:val="16"/>
                              </w:rPr>
                            </w:pPr>
                            <w:r>
                              <w:rPr>
                                <w:sz w:val="16"/>
                                <w:szCs w:val="16"/>
                              </w:rPr>
                              <w:t>Start on site</w:t>
                            </w:r>
                          </w:p>
                        </w:tc>
                        <w:tc>
                          <w:tcPr>
                            <w:tcW w:w="1781" w:type="dxa"/>
                          </w:tcPr>
                          <w:p w:rsidR="00500504" w:rsidP="00A2014F">
                            <w:pPr>
                              <w:jc w:val="both"/>
                              <w:rPr>
                                <w:sz w:val="16"/>
                                <w:szCs w:val="16"/>
                              </w:rPr>
                            </w:pPr>
                          </w:p>
                        </w:tc>
                      </w:tr>
                      <w:tr w:rsidTr="006C4269">
                        <w:tblPrEx>
                          <w:tblW w:w="5000" w:type="pct"/>
                          <w:tblLayout w:type="fixed"/>
                          <w:tblLook w:val="04A0"/>
                        </w:tblPrEx>
                        <w:tc>
                          <w:tcPr>
                            <w:tcW w:w="4390" w:type="dxa"/>
                          </w:tcPr>
                          <w:p w:rsidR="00500504" w:rsidRPr="008A0ACC" w:rsidP="00A2014F">
                            <w:pPr>
                              <w:jc w:val="both"/>
                              <w:rPr>
                                <w:sz w:val="16"/>
                                <w:szCs w:val="16"/>
                              </w:rPr>
                            </w:pPr>
                            <w:r w:rsidRPr="008A0ACC">
                              <w:rPr>
                                <w:sz w:val="16"/>
                                <w:szCs w:val="16"/>
                              </w:rPr>
                              <w:t>Guild Wheel Upgrade Link – P1 Bluebell Way</w:t>
                            </w:r>
                          </w:p>
                        </w:tc>
                        <w:tc>
                          <w:tcPr>
                            <w:tcW w:w="708" w:type="dxa"/>
                            <w:shd w:val="clear" w:color="auto" w:fill="FF0000"/>
                          </w:tcPr>
                          <w:p w:rsidR="00500504" w:rsidRPr="008A0ACC" w:rsidP="00A2014F">
                            <w:pPr>
                              <w:jc w:val="both"/>
                              <w:rPr>
                                <w:sz w:val="16"/>
                                <w:szCs w:val="16"/>
                              </w:rPr>
                            </w:pPr>
                          </w:p>
                        </w:tc>
                        <w:tc>
                          <w:tcPr>
                            <w:tcW w:w="1701" w:type="dxa"/>
                          </w:tcPr>
                          <w:p w:rsidR="00500504" w:rsidRPr="008A0ACC" w:rsidP="00A2014F">
                            <w:pPr>
                              <w:jc w:val="both"/>
                              <w:rPr>
                                <w:sz w:val="16"/>
                                <w:szCs w:val="16"/>
                              </w:rPr>
                            </w:pPr>
                            <w:r>
                              <w:rPr>
                                <w:sz w:val="16"/>
                                <w:szCs w:val="16"/>
                              </w:rPr>
                              <w:t>D</w:t>
                            </w:r>
                            <w:r>
                              <w:rPr>
                                <w:sz w:val="16"/>
                                <w:szCs w:val="16"/>
                              </w:rPr>
                              <w:t>esign</w:t>
                            </w:r>
                          </w:p>
                        </w:tc>
                        <w:tc>
                          <w:tcPr>
                            <w:tcW w:w="1781" w:type="dxa"/>
                          </w:tcPr>
                          <w:p w:rsidR="00500504" w:rsidP="00DD1F54">
                            <w:pPr>
                              <w:jc w:val="both"/>
                              <w:rPr>
                                <w:sz w:val="16"/>
                                <w:szCs w:val="16"/>
                              </w:rPr>
                            </w:pPr>
                            <w:r>
                              <w:rPr>
                                <w:sz w:val="16"/>
                                <w:szCs w:val="16"/>
                              </w:rPr>
                              <w:t>Timescales/</w:t>
                            </w:r>
                            <w:r w:rsidR="00DD1F54">
                              <w:rPr>
                                <w:sz w:val="16"/>
                                <w:szCs w:val="16"/>
                              </w:rPr>
                              <w:t>funding</w:t>
                            </w:r>
                          </w:p>
                        </w:tc>
                      </w:tr>
                      <w:tr w:rsidTr="009E49B3">
                        <w:tblPrEx>
                          <w:tblW w:w="5000" w:type="pct"/>
                          <w:tblLayout w:type="fixed"/>
                          <w:tblLook w:val="04A0"/>
                        </w:tblPrEx>
                        <w:tc>
                          <w:tcPr>
                            <w:tcW w:w="4390" w:type="dxa"/>
                          </w:tcPr>
                          <w:p w:rsidR="00500504" w:rsidRPr="008A0ACC" w:rsidP="00A2014F">
                            <w:pPr>
                              <w:jc w:val="both"/>
                              <w:rPr>
                                <w:sz w:val="16"/>
                                <w:szCs w:val="16"/>
                              </w:rPr>
                            </w:pPr>
                            <w:r w:rsidRPr="008A0ACC">
                              <w:rPr>
                                <w:sz w:val="16"/>
                                <w:szCs w:val="16"/>
                              </w:rPr>
                              <w:t>Guild Wheel Upgrade Link – P2 Watery Lane</w:t>
                            </w:r>
                          </w:p>
                        </w:tc>
                        <w:tc>
                          <w:tcPr>
                            <w:tcW w:w="708" w:type="dxa"/>
                            <w:shd w:val="clear" w:color="auto" w:fill="FFC000" w:themeFill="accent4"/>
                          </w:tcPr>
                          <w:p w:rsidR="00500504" w:rsidRPr="008A0ACC" w:rsidP="00A2014F">
                            <w:pPr>
                              <w:jc w:val="both"/>
                              <w:rPr>
                                <w:sz w:val="16"/>
                                <w:szCs w:val="16"/>
                              </w:rPr>
                            </w:pPr>
                          </w:p>
                        </w:tc>
                        <w:tc>
                          <w:tcPr>
                            <w:tcW w:w="1701" w:type="dxa"/>
                          </w:tcPr>
                          <w:p w:rsidR="00500504" w:rsidRPr="008A0ACC" w:rsidP="00A2014F">
                            <w:pPr>
                              <w:jc w:val="both"/>
                              <w:rPr>
                                <w:sz w:val="16"/>
                                <w:szCs w:val="16"/>
                              </w:rPr>
                            </w:pPr>
                            <w:r>
                              <w:rPr>
                                <w:sz w:val="16"/>
                                <w:szCs w:val="16"/>
                              </w:rPr>
                              <w:t>Contract  awarded</w:t>
                            </w:r>
                          </w:p>
                        </w:tc>
                        <w:tc>
                          <w:tcPr>
                            <w:tcW w:w="1781" w:type="dxa"/>
                          </w:tcPr>
                          <w:p w:rsidR="00500504" w:rsidP="00A2014F">
                            <w:pPr>
                              <w:jc w:val="both"/>
                              <w:rPr>
                                <w:sz w:val="16"/>
                                <w:szCs w:val="16"/>
                              </w:rPr>
                            </w:pPr>
                            <w:r>
                              <w:rPr>
                                <w:sz w:val="16"/>
                                <w:szCs w:val="16"/>
                              </w:rPr>
                              <w:t>Timescales</w:t>
                            </w:r>
                          </w:p>
                        </w:tc>
                      </w:tr>
                      <w:tr w:rsidTr="006C4269">
                        <w:tblPrEx>
                          <w:tblW w:w="5000" w:type="pct"/>
                          <w:tblLayout w:type="fixed"/>
                          <w:tblLook w:val="04A0"/>
                        </w:tblPrEx>
                        <w:tc>
                          <w:tcPr>
                            <w:tcW w:w="4390" w:type="dxa"/>
                          </w:tcPr>
                          <w:p w:rsidR="00500504" w:rsidRPr="00E87974" w:rsidP="00A2014F">
                            <w:pPr>
                              <w:jc w:val="both"/>
                              <w:rPr>
                                <w:sz w:val="16"/>
                                <w:szCs w:val="16"/>
                              </w:rPr>
                            </w:pPr>
                            <w:r w:rsidRPr="00E87974">
                              <w:rPr>
                                <w:sz w:val="16"/>
                                <w:szCs w:val="16"/>
                              </w:rPr>
                              <w:t>Lancaster Canal Towpath</w:t>
                            </w:r>
                            <w:r>
                              <w:rPr>
                                <w:sz w:val="16"/>
                                <w:szCs w:val="16"/>
                              </w:rPr>
                              <w:t xml:space="preserve"> and Tom Benson Way</w:t>
                            </w:r>
                          </w:p>
                        </w:tc>
                        <w:tc>
                          <w:tcPr>
                            <w:tcW w:w="708" w:type="dxa"/>
                            <w:shd w:val="clear" w:color="auto" w:fill="FF0000"/>
                          </w:tcPr>
                          <w:p w:rsidR="00500504" w:rsidRPr="00C32ED5" w:rsidP="00A2014F">
                            <w:pPr>
                              <w:jc w:val="both"/>
                              <w:rPr>
                                <w:color w:val="FF0000"/>
                                <w:sz w:val="16"/>
                                <w:szCs w:val="16"/>
                              </w:rPr>
                            </w:pPr>
                          </w:p>
                        </w:tc>
                        <w:tc>
                          <w:tcPr>
                            <w:tcW w:w="1701" w:type="dxa"/>
                          </w:tcPr>
                          <w:p w:rsidR="00500504" w:rsidRPr="00E87974" w:rsidP="00A2014F">
                            <w:pPr>
                              <w:jc w:val="both"/>
                              <w:rPr>
                                <w:sz w:val="16"/>
                                <w:szCs w:val="16"/>
                              </w:rPr>
                            </w:pPr>
                            <w:r w:rsidRPr="00E87974">
                              <w:rPr>
                                <w:sz w:val="16"/>
                                <w:szCs w:val="16"/>
                              </w:rPr>
                              <w:t>Design</w:t>
                            </w:r>
                            <w:r>
                              <w:rPr>
                                <w:sz w:val="16"/>
                                <w:szCs w:val="16"/>
                              </w:rPr>
                              <w:t xml:space="preserve"> developed</w:t>
                            </w:r>
                          </w:p>
                        </w:tc>
                        <w:tc>
                          <w:tcPr>
                            <w:tcW w:w="1781" w:type="dxa"/>
                          </w:tcPr>
                          <w:p w:rsidR="00500504" w:rsidRPr="00E87974" w:rsidP="00DD1F54">
                            <w:pPr>
                              <w:jc w:val="both"/>
                              <w:rPr>
                                <w:sz w:val="16"/>
                                <w:szCs w:val="16"/>
                              </w:rPr>
                            </w:pPr>
                            <w:r>
                              <w:rPr>
                                <w:sz w:val="16"/>
                                <w:szCs w:val="16"/>
                              </w:rPr>
                              <w:t>R</w:t>
                            </w:r>
                            <w:r w:rsidR="001E1F07">
                              <w:rPr>
                                <w:sz w:val="16"/>
                                <w:szCs w:val="16"/>
                              </w:rPr>
                              <w:t>esources</w:t>
                            </w:r>
                            <w:r>
                              <w:rPr>
                                <w:sz w:val="16"/>
                                <w:szCs w:val="16"/>
                              </w:rPr>
                              <w:t>/</w:t>
                            </w:r>
                            <w:r w:rsidR="00DD1F54">
                              <w:rPr>
                                <w:sz w:val="16"/>
                                <w:szCs w:val="16"/>
                              </w:rPr>
                              <w:t>funding</w:t>
                            </w:r>
                          </w:p>
                        </w:tc>
                      </w:tr>
                      <w:tr w:rsidTr="009E49B3">
                        <w:tblPrEx>
                          <w:tblW w:w="5000" w:type="pct"/>
                          <w:tblLayout w:type="fixed"/>
                          <w:tblLook w:val="04A0"/>
                        </w:tblPrEx>
                        <w:tc>
                          <w:tcPr>
                            <w:tcW w:w="4390" w:type="dxa"/>
                            <w:shd w:val="clear" w:color="auto" w:fill="BDD6EE" w:themeFill="accent1" w:themeFillTint="66"/>
                          </w:tcPr>
                          <w:p w:rsidR="00500504" w:rsidRPr="00E87974" w:rsidP="00A2014F">
                            <w:pPr>
                              <w:jc w:val="both"/>
                              <w:rPr>
                                <w:b/>
                                <w:sz w:val="16"/>
                                <w:szCs w:val="16"/>
                              </w:rPr>
                            </w:pPr>
                            <w:r w:rsidRPr="00E87974">
                              <w:rPr>
                                <w:b/>
                                <w:sz w:val="16"/>
                                <w:szCs w:val="16"/>
                              </w:rPr>
                              <w:t>City Deal Zone 2: North East Preston</w:t>
                            </w:r>
                          </w:p>
                        </w:tc>
                        <w:tc>
                          <w:tcPr>
                            <w:tcW w:w="708" w:type="dxa"/>
                            <w:shd w:val="clear" w:color="auto" w:fill="BDD6EE" w:themeFill="accent1" w:themeFillTint="66"/>
                          </w:tcPr>
                          <w:p w:rsidR="00500504" w:rsidRPr="00E87974" w:rsidP="00A2014F">
                            <w:pPr>
                              <w:jc w:val="both"/>
                              <w:rPr>
                                <w:b/>
                                <w:sz w:val="16"/>
                                <w:szCs w:val="16"/>
                              </w:rPr>
                            </w:pPr>
                          </w:p>
                        </w:tc>
                        <w:tc>
                          <w:tcPr>
                            <w:tcW w:w="1701" w:type="dxa"/>
                            <w:shd w:val="clear" w:color="auto" w:fill="BDD6EE" w:themeFill="accent1" w:themeFillTint="66"/>
                          </w:tcPr>
                          <w:p w:rsidR="00500504" w:rsidRPr="00E87974" w:rsidP="00A2014F">
                            <w:pPr>
                              <w:jc w:val="both"/>
                              <w:rPr>
                                <w:b/>
                                <w:sz w:val="16"/>
                                <w:szCs w:val="16"/>
                              </w:rPr>
                            </w:pPr>
                          </w:p>
                        </w:tc>
                        <w:tc>
                          <w:tcPr>
                            <w:tcW w:w="1781" w:type="dxa"/>
                            <w:shd w:val="clear" w:color="auto" w:fill="BDD6EE" w:themeFill="accent1" w:themeFillTint="66"/>
                          </w:tcPr>
                          <w:p w:rsidR="00500504" w:rsidRPr="00E87974" w:rsidP="00A2014F">
                            <w:pPr>
                              <w:jc w:val="both"/>
                              <w:rPr>
                                <w:b/>
                                <w:sz w:val="16"/>
                                <w:szCs w:val="16"/>
                              </w:rPr>
                            </w:pPr>
                          </w:p>
                        </w:tc>
                      </w:tr>
                      <w:tr w:rsidTr="009E49B3">
                        <w:tblPrEx>
                          <w:tblW w:w="5000" w:type="pct"/>
                          <w:tblLayout w:type="fixed"/>
                          <w:tblLook w:val="04A0"/>
                        </w:tblPrEx>
                        <w:tc>
                          <w:tcPr>
                            <w:tcW w:w="4390" w:type="dxa"/>
                          </w:tcPr>
                          <w:p w:rsidR="00500504" w:rsidRPr="008A0ACC" w:rsidP="00A2014F">
                            <w:pPr>
                              <w:jc w:val="both"/>
                              <w:rPr>
                                <w:sz w:val="16"/>
                                <w:szCs w:val="16"/>
                              </w:rPr>
                            </w:pPr>
                            <w:r w:rsidRPr="008A0ACC">
                              <w:rPr>
                                <w:sz w:val="16"/>
                                <w:szCs w:val="16"/>
                              </w:rPr>
                              <w:t>Grimsargh Green</w:t>
                            </w:r>
                          </w:p>
                        </w:tc>
                        <w:tc>
                          <w:tcPr>
                            <w:tcW w:w="708" w:type="dxa"/>
                            <w:shd w:val="clear" w:color="auto" w:fill="70AD47" w:themeFill="accent6"/>
                          </w:tcPr>
                          <w:p w:rsidR="00500504" w:rsidRPr="008A0ACC" w:rsidP="00A2014F">
                            <w:pPr>
                              <w:jc w:val="both"/>
                              <w:rPr>
                                <w:sz w:val="16"/>
                                <w:szCs w:val="16"/>
                              </w:rPr>
                            </w:pPr>
                          </w:p>
                        </w:tc>
                        <w:tc>
                          <w:tcPr>
                            <w:tcW w:w="1701" w:type="dxa"/>
                          </w:tcPr>
                          <w:p w:rsidR="00500504" w:rsidRPr="008A0ACC" w:rsidP="00A2014F">
                            <w:pPr>
                              <w:jc w:val="both"/>
                              <w:rPr>
                                <w:sz w:val="16"/>
                                <w:szCs w:val="16"/>
                              </w:rPr>
                            </w:pPr>
                            <w:r>
                              <w:rPr>
                                <w:sz w:val="16"/>
                                <w:szCs w:val="16"/>
                              </w:rPr>
                              <w:t>Contract awarded</w:t>
                            </w:r>
                          </w:p>
                        </w:tc>
                        <w:tc>
                          <w:tcPr>
                            <w:tcW w:w="1781" w:type="dxa"/>
                          </w:tcPr>
                          <w:p w:rsidR="00500504" w:rsidP="00A2014F">
                            <w:pPr>
                              <w:jc w:val="both"/>
                              <w:rPr>
                                <w:sz w:val="16"/>
                                <w:szCs w:val="16"/>
                              </w:rPr>
                            </w:pPr>
                          </w:p>
                        </w:tc>
                      </w:tr>
                      <w:tr w:rsidTr="009E49B3">
                        <w:tblPrEx>
                          <w:tblW w:w="5000" w:type="pct"/>
                          <w:tblLayout w:type="fixed"/>
                          <w:tblLook w:val="04A0"/>
                        </w:tblPrEx>
                        <w:tc>
                          <w:tcPr>
                            <w:tcW w:w="4390" w:type="dxa"/>
                            <w:shd w:val="clear" w:color="auto" w:fill="BDD6EE" w:themeFill="accent1" w:themeFillTint="66"/>
                          </w:tcPr>
                          <w:p w:rsidR="00500504" w:rsidRPr="00E87974" w:rsidP="00A2014F">
                            <w:pPr>
                              <w:jc w:val="both"/>
                              <w:rPr>
                                <w:b/>
                                <w:sz w:val="16"/>
                                <w:szCs w:val="16"/>
                              </w:rPr>
                            </w:pPr>
                            <w:r w:rsidRPr="00E87974">
                              <w:rPr>
                                <w:b/>
                                <w:sz w:val="16"/>
                                <w:szCs w:val="16"/>
                              </w:rPr>
                              <w:t>City Deal Zone 3: Preston City Centre</w:t>
                            </w:r>
                          </w:p>
                        </w:tc>
                        <w:tc>
                          <w:tcPr>
                            <w:tcW w:w="708" w:type="dxa"/>
                            <w:shd w:val="clear" w:color="auto" w:fill="BDD6EE" w:themeFill="accent1" w:themeFillTint="66"/>
                          </w:tcPr>
                          <w:p w:rsidR="00500504" w:rsidRPr="00E87974" w:rsidP="00A2014F">
                            <w:pPr>
                              <w:jc w:val="both"/>
                              <w:rPr>
                                <w:b/>
                                <w:sz w:val="16"/>
                                <w:szCs w:val="16"/>
                              </w:rPr>
                            </w:pPr>
                          </w:p>
                        </w:tc>
                        <w:tc>
                          <w:tcPr>
                            <w:tcW w:w="1701" w:type="dxa"/>
                            <w:shd w:val="clear" w:color="auto" w:fill="BDD6EE" w:themeFill="accent1" w:themeFillTint="66"/>
                          </w:tcPr>
                          <w:p w:rsidR="00500504" w:rsidRPr="00E87974" w:rsidP="00A2014F">
                            <w:pPr>
                              <w:jc w:val="both"/>
                              <w:rPr>
                                <w:b/>
                                <w:sz w:val="16"/>
                                <w:szCs w:val="16"/>
                              </w:rPr>
                            </w:pPr>
                          </w:p>
                        </w:tc>
                        <w:tc>
                          <w:tcPr>
                            <w:tcW w:w="1781" w:type="dxa"/>
                            <w:shd w:val="clear" w:color="auto" w:fill="BDD6EE" w:themeFill="accent1" w:themeFillTint="66"/>
                          </w:tcPr>
                          <w:p w:rsidR="00500504" w:rsidRPr="00E87974" w:rsidP="00A2014F">
                            <w:pPr>
                              <w:jc w:val="both"/>
                              <w:rPr>
                                <w:b/>
                                <w:sz w:val="16"/>
                                <w:szCs w:val="16"/>
                              </w:rPr>
                            </w:pPr>
                          </w:p>
                        </w:tc>
                      </w:tr>
                      <w:tr w:rsidTr="009E49B3">
                        <w:tblPrEx>
                          <w:tblW w:w="5000" w:type="pct"/>
                          <w:tblLayout w:type="fixed"/>
                          <w:tblLook w:val="04A0"/>
                        </w:tblPrEx>
                        <w:tc>
                          <w:tcPr>
                            <w:tcW w:w="4390" w:type="dxa"/>
                          </w:tcPr>
                          <w:p w:rsidR="00500504" w:rsidRPr="008A0ACC" w:rsidP="000F648E">
                            <w:pPr>
                              <w:jc w:val="both"/>
                              <w:rPr>
                                <w:sz w:val="16"/>
                                <w:szCs w:val="16"/>
                              </w:rPr>
                            </w:pPr>
                            <w:r w:rsidRPr="008A0ACC">
                              <w:rPr>
                                <w:sz w:val="16"/>
                                <w:szCs w:val="16"/>
                              </w:rPr>
                              <w:t>Fishergate</w:t>
                            </w:r>
                            <w:r w:rsidRPr="008A0ACC">
                              <w:rPr>
                                <w:sz w:val="16"/>
                                <w:szCs w:val="16"/>
                              </w:rPr>
                              <w:t xml:space="preserve"> Central Gateway – Ph3</w:t>
                            </w:r>
                          </w:p>
                        </w:tc>
                        <w:tc>
                          <w:tcPr>
                            <w:tcW w:w="708" w:type="dxa"/>
                            <w:shd w:val="clear" w:color="auto" w:fill="FFC000" w:themeFill="accent4"/>
                            <w:vAlign w:val="center"/>
                          </w:tcPr>
                          <w:p w:rsidR="00500504" w:rsidRPr="008A0ACC" w:rsidP="000F648E">
                            <w:pPr>
                              <w:jc w:val="both"/>
                              <w:rPr>
                                <w:sz w:val="16"/>
                                <w:szCs w:val="16"/>
                              </w:rPr>
                            </w:pPr>
                          </w:p>
                        </w:tc>
                        <w:tc>
                          <w:tcPr>
                            <w:tcW w:w="1701" w:type="dxa"/>
                          </w:tcPr>
                          <w:p w:rsidR="00500504" w:rsidRPr="008A0ACC" w:rsidP="000F648E">
                            <w:pPr>
                              <w:jc w:val="both"/>
                              <w:rPr>
                                <w:sz w:val="16"/>
                                <w:szCs w:val="16"/>
                              </w:rPr>
                            </w:pPr>
                            <w:r>
                              <w:rPr>
                                <w:sz w:val="16"/>
                                <w:szCs w:val="16"/>
                              </w:rPr>
                              <w:t>On site</w:t>
                            </w:r>
                          </w:p>
                        </w:tc>
                        <w:tc>
                          <w:tcPr>
                            <w:tcW w:w="1781" w:type="dxa"/>
                          </w:tcPr>
                          <w:p w:rsidR="00500504" w:rsidP="000F648E">
                            <w:pPr>
                              <w:jc w:val="both"/>
                              <w:rPr>
                                <w:sz w:val="16"/>
                                <w:szCs w:val="16"/>
                              </w:rPr>
                            </w:pPr>
                            <w:r>
                              <w:rPr>
                                <w:sz w:val="16"/>
                                <w:szCs w:val="16"/>
                              </w:rPr>
                              <w:t>timescales</w:t>
                            </w:r>
                          </w:p>
                        </w:tc>
                      </w:tr>
                      <w:tr w:rsidTr="009E49B3">
                        <w:tblPrEx>
                          <w:tblW w:w="5000" w:type="pct"/>
                          <w:tblLayout w:type="fixed"/>
                          <w:tblLook w:val="04A0"/>
                        </w:tblPrEx>
                        <w:tc>
                          <w:tcPr>
                            <w:tcW w:w="4390" w:type="dxa"/>
                          </w:tcPr>
                          <w:p w:rsidR="00500504" w:rsidRPr="008A0ACC" w:rsidP="00E87974">
                            <w:pPr>
                              <w:rPr>
                                <w:sz w:val="16"/>
                                <w:szCs w:val="16"/>
                              </w:rPr>
                            </w:pPr>
                            <w:r w:rsidRPr="008A0ACC">
                              <w:rPr>
                                <w:sz w:val="16"/>
                                <w:szCs w:val="16"/>
                              </w:rPr>
                              <w:t xml:space="preserve">PWD to </w:t>
                            </w:r>
                            <w:r w:rsidRPr="008A0ACC">
                              <w:rPr>
                                <w:sz w:val="16"/>
                                <w:szCs w:val="16"/>
                              </w:rPr>
                              <w:t>Samlesbury</w:t>
                            </w:r>
                            <w:r w:rsidRPr="008A0ACC">
                              <w:rPr>
                                <w:sz w:val="16"/>
                                <w:szCs w:val="16"/>
                              </w:rPr>
                              <w:t xml:space="preserve"> – New Hall Lane Local Centre (local centre)</w:t>
                            </w:r>
                          </w:p>
                        </w:tc>
                        <w:tc>
                          <w:tcPr>
                            <w:tcW w:w="708" w:type="dxa"/>
                            <w:shd w:val="clear" w:color="auto" w:fill="FFC000" w:themeFill="accent4"/>
                          </w:tcPr>
                          <w:p w:rsidR="00500504" w:rsidRPr="008A0ACC" w:rsidP="00E87974">
                            <w:pPr>
                              <w:jc w:val="both"/>
                              <w:rPr>
                                <w:sz w:val="16"/>
                                <w:szCs w:val="16"/>
                              </w:rPr>
                            </w:pPr>
                          </w:p>
                        </w:tc>
                        <w:tc>
                          <w:tcPr>
                            <w:tcW w:w="1701" w:type="dxa"/>
                          </w:tcPr>
                          <w:p w:rsidR="00500504" w:rsidRPr="008A0ACC" w:rsidP="00E87974">
                            <w:pPr>
                              <w:jc w:val="both"/>
                              <w:rPr>
                                <w:sz w:val="16"/>
                                <w:szCs w:val="16"/>
                              </w:rPr>
                            </w:pPr>
                            <w:r w:rsidRPr="008A0ACC">
                              <w:rPr>
                                <w:sz w:val="16"/>
                                <w:szCs w:val="16"/>
                              </w:rPr>
                              <w:t>On site</w:t>
                            </w:r>
                            <w:r>
                              <w:rPr>
                                <w:sz w:val="16"/>
                                <w:szCs w:val="16"/>
                              </w:rPr>
                              <w:t>/site complete</w:t>
                            </w:r>
                          </w:p>
                        </w:tc>
                        <w:tc>
                          <w:tcPr>
                            <w:tcW w:w="1781" w:type="dxa"/>
                          </w:tcPr>
                          <w:p w:rsidR="00500504" w:rsidRPr="008A0ACC" w:rsidP="00E87974">
                            <w:pPr>
                              <w:jc w:val="both"/>
                              <w:rPr>
                                <w:sz w:val="16"/>
                                <w:szCs w:val="16"/>
                              </w:rPr>
                            </w:pPr>
                            <w:r>
                              <w:rPr>
                                <w:sz w:val="16"/>
                                <w:szCs w:val="16"/>
                              </w:rPr>
                              <w:t>timescales</w:t>
                            </w:r>
                          </w:p>
                        </w:tc>
                      </w:tr>
                      <w:tr w:rsidTr="009E49B3">
                        <w:tblPrEx>
                          <w:tblW w:w="5000" w:type="pct"/>
                          <w:tblLayout w:type="fixed"/>
                          <w:tblLook w:val="04A0"/>
                        </w:tblPrEx>
                        <w:tc>
                          <w:tcPr>
                            <w:tcW w:w="4390" w:type="dxa"/>
                          </w:tcPr>
                          <w:p w:rsidR="00500504" w:rsidRPr="008A0ACC" w:rsidP="00E87974">
                            <w:pPr>
                              <w:jc w:val="both"/>
                              <w:rPr>
                                <w:sz w:val="16"/>
                                <w:szCs w:val="16"/>
                              </w:rPr>
                            </w:pPr>
                            <w:r w:rsidRPr="008A0ACC">
                              <w:rPr>
                                <w:sz w:val="16"/>
                                <w:szCs w:val="16"/>
                              </w:rPr>
                              <w:t>City Transport Plan</w:t>
                            </w:r>
                          </w:p>
                        </w:tc>
                        <w:tc>
                          <w:tcPr>
                            <w:tcW w:w="708" w:type="dxa"/>
                            <w:shd w:val="clear" w:color="auto" w:fill="FFC000" w:themeFill="accent4"/>
                          </w:tcPr>
                          <w:p w:rsidR="00500504" w:rsidRPr="008A0ACC" w:rsidP="00E87974">
                            <w:pPr>
                              <w:jc w:val="both"/>
                              <w:rPr>
                                <w:sz w:val="16"/>
                                <w:szCs w:val="16"/>
                              </w:rPr>
                            </w:pPr>
                          </w:p>
                        </w:tc>
                        <w:tc>
                          <w:tcPr>
                            <w:tcW w:w="1701" w:type="dxa"/>
                          </w:tcPr>
                          <w:p w:rsidR="00500504" w:rsidRPr="008A0ACC" w:rsidP="00E87974">
                            <w:pPr>
                              <w:jc w:val="both"/>
                              <w:rPr>
                                <w:sz w:val="16"/>
                                <w:szCs w:val="16"/>
                              </w:rPr>
                            </w:pPr>
                            <w:r w:rsidRPr="008A0ACC">
                              <w:rPr>
                                <w:sz w:val="16"/>
                                <w:szCs w:val="16"/>
                              </w:rPr>
                              <w:t>underway</w:t>
                            </w:r>
                          </w:p>
                        </w:tc>
                        <w:tc>
                          <w:tcPr>
                            <w:tcW w:w="1781" w:type="dxa"/>
                          </w:tcPr>
                          <w:p w:rsidR="00500504" w:rsidRPr="008A0ACC" w:rsidP="00E87974">
                            <w:pPr>
                              <w:jc w:val="both"/>
                              <w:rPr>
                                <w:sz w:val="16"/>
                                <w:szCs w:val="16"/>
                              </w:rPr>
                            </w:pPr>
                            <w:r>
                              <w:rPr>
                                <w:sz w:val="16"/>
                                <w:szCs w:val="16"/>
                              </w:rPr>
                              <w:t>Officer resources</w:t>
                            </w:r>
                          </w:p>
                        </w:tc>
                      </w:tr>
                      <w:tr w:rsidTr="009E49B3">
                        <w:tblPrEx>
                          <w:tblW w:w="5000" w:type="pct"/>
                          <w:tblLayout w:type="fixed"/>
                          <w:tblLook w:val="04A0"/>
                        </w:tblPrEx>
                        <w:tc>
                          <w:tcPr>
                            <w:tcW w:w="4390" w:type="dxa"/>
                          </w:tcPr>
                          <w:p w:rsidR="00500504" w:rsidRPr="00E87974" w:rsidP="00E87974">
                            <w:pPr>
                              <w:jc w:val="both"/>
                              <w:rPr>
                                <w:sz w:val="16"/>
                                <w:szCs w:val="16"/>
                              </w:rPr>
                            </w:pPr>
                            <w:r w:rsidRPr="00E87974">
                              <w:rPr>
                                <w:sz w:val="16"/>
                                <w:szCs w:val="16"/>
                              </w:rPr>
                              <w:t>Expanded City Cultural Development programme</w:t>
                            </w:r>
                          </w:p>
                        </w:tc>
                        <w:tc>
                          <w:tcPr>
                            <w:tcW w:w="708" w:type="dxa"/>
                            <w:shd w:val="clear" w:color="auto" w:fill="70AD47" w:themeFill="accent6"/>
                          </w:tcPr>
                          <w:p w:rsidR="00500504" w:rsidRPr="00E87974" w:rsidP="00E87974">
                            <w:pPr>
                              <w:jc w:val="both"/>
                              <w:rPr>
                                <w:sz w:val="16"/>
                                <w:szCs w:val="16"/>
                              </w:rPr>
                            </w:pPr>
                          </w:p>
                        </w:tc>
                        <w:tc>
                          <w:tcPr>
                            <w:tcW w:w="1701" w:type="dxa"/>
                          </w:tcPr>
                          <w:p w:rsidR="00500504" w:rsidRPr="00E87974" w:rsidP="00E87974">
                            <w:pPr>
                              <w:jc w:val="both"/>
                              <w:rPr>
                                <w:sz w:val="16"/>
                                <w:szCs w:val="16"/>
                              </w:rPr>
                            </w:pPr>
                            <w:r>
                              <w:rPr>
                                <w:sz w:val="16"/>
                                <w:szCs w:val="16"/>
                              </w:rPr>
                              <w:t>U</w:t>
                            </w:r>
                            <w:r w:rsidR="002774DF">
                              <w:rPr>
                                <w:sz w:val="16"/>
                                <w:szCs w:val="16"/>
                              </w:rPr>
                              <w:t>nderway</w:t>
                            </w:r>
                          </w:p>
                        </w:tc>
                        <w:tc>
                          <w:tcPr>
                            <w:tcW w:w="1781" w:type="dxa"/>
                          </w:tcPr>
                          <w:p w:rsidR="00500504" w:rsidP="00E87974">
                            <w:pPr>
                              <w:jc w:val="both"/>
                              <w:rPr>
                                <w:sz w:val="16"/>
                                <w:szCs w:val="16"/>
                              </w:rPr>
                            </w:pPr>
                          </w:p>
                        </w:tc>
                      </w:tr>
                      <w:tr w:rsidTr="009E49B3">
                        <w:tblPrEx>
                          <w:tblW w:w="5000" w:type="pct"/>
                          <w:tblLayout w:type="fixed"/>
                          <w:tblLook w:val="04A0"/>
                        </w:tblPrEx>
                        <w:tc>
                          <w:tcPr>
                            <w:tcW w:w="4390" w:type="dxa"/>
                          </w:tcPr>
                          <w:p w:rsidR="00500504" w:rsidRPr="00E87974" w:rsidP="00E87974">
                            <w:pPr>
                              <w:jc w:val="both"/>
                              <w:rPr>
                                <w:sz w:val="16"/>
                                <w:szCs w:val="16"/>
                              </w:rPr>
                            </w:pPr>
                            <w:r w:rsidRPr="00E87974">
                              <w:rPr>
                                <w:sz w:val="16"/>
                                <w:szCs w:val="16"/>
                              </w:rPr>
                              <w:t>East Cliff Cycle Link and Bridge</w:t>
                            </w:r>
                          </w:p>
                        </w:tc>
                        <w:tc>
                          <w:tcPr>
                            <w:tcW w:w="708" w:type="dxa"/>
                            <w:shd w:val="clear" w:color="auto" w:fill="70AD47" w:themeFill="accent6"/>
                          </w:tcPr>
                          <w:p w:rsidR="00500504" w:rsidRPr="00E87974" w:rsidP="00E87974">
                            <w:pPr>
                              <w:jc w:val="both"/>
                              <w:rPr>
                                <w:sz w:val="16"/>
                                <w:szCs w:val="16"/>
                              </w:rPr>
                            </w:pPr>
                          </w:p>
                        </w:tc>
                        <w:tc>
                          <w:tcPr>
                            <w:tcW w:w="1701" w:type="dxa"/>
                          </w:tcPr>
                          <w:p w:rsidR="00500504" w:rsidRPr="00E87974" w:rsidP="00E87974">
                            <w:pPr>
                              <w:jc w:val="both"/>
                              <w:rPr>
                                <w:sz w:val="16"/>
                                <w:szCs w:val="16"/>
                              </w:rPr>
                            </w:pPr>
                            <w:r>
                              <w:rPr>
                                <w:sz w:val="16"/>
                                <w:szCs w:val="16"/>
                              </w:rPr>
                              <w:t>D</w:t>
                            </w:r>
                            <w:r>
                              <w:rPr>
                                <w:sz w:val="16"/>
                                <w:szCs w:val="16"/>
                              </w:rPr>
                              <w:t>esign</w:t>
                            </w:r>
                          </w:p>
                        </w:tc>
                        <w:tc>
                          <w:tcPr>
                            <w:tcW w:w="1781" w:type="dxa"/>
                          </w:tcPr>
                          <w:p w:rsidR="00500504" w:rsidP="00E87974">
                            <w:pPr>
                              <w:jc w:val="both"/>
                              <w:rPr>
                                <w:sz w:val="16"/>
                                <w:szCs w:val="16"/>
                              </w:rPr>
                            </w:pPr>
                          </w:p>
                        </w:tc>
                      </w:tr>
                      <w:tr w:rsidTr="009E49B3">
                        <w:tblPrEx>
                          <w:tblW w:w="5000" w:type="pct"/>
                          <w:tblLayout w:type="fixed"/>
                          <w:tblLook w:val="04A0"/>
                        </w:tblPrEx>
                        <w:tc>
                          <w:tcPr>
                            <w:tcW w:w="4390" w:type="dxa"/>
                            <w:shd w:val="clear" w:color="auto" w:fill="BDD6EE" w:themeFill="accent1" w:themeFillTint="66"/>
                          </w:tcPr>
                          <w:p w:rsidR="00500504" w:rsidRPr="00950B5C" w:rsidP="000F648E">
                            <w:pPr>
                              <w:jc w:val="both"/>
                              <w:rPr>
                                <w:b/>
                                <w:sz w:val="16"/>
                                <w:szCs w:val="16"/>
                              </w:rPr>
                            </w:pPr>
                            <w:r w:rsidRPr="00950B5C">
                              <w:rPr>
                                <w:b/>
                                <w:sz w:val="16"/>
                                <w:szCs w:val="16"/>
                              </w:rPr>
                              <w:t>City Deal Zone 4: Penwortham &amp; Lostock hall</w:t>
                            </w:r>
                          </w:p>
                        </w:tc>
                        <w:tc>
                          <w:tcPr>
                            <w:tcW w:w="708" w:type="dxa"/>
                            <w:shd w:val="clear" w:color="auto" w:fill="BDD6EE" w:themeFill="accent1" w:themeFillTint="66"/>
                            <w:vAlign w:val="center"/>
                          </w:tcPr>
                          <w:p w:rsidR="00500504" w:rsidRPr="00950B5C" w:rsidP="000F648E">
                            <w:pPr>
                              <w:jc w:val="both"/>
                              <w:rPr>
                                <w:b/>
                                <w:sz w:val="16"/>
                                <w:szCs w:val="16"/>
                              </w:rPr>
                            </w:pPr>
                          </w:p>
                        </w:tc>
                        <w:tc>
                          <w:tcPr>
                            <w:tcW w:w="1701" w:type="dxa"/>
                            <w:shd w:val="clear" w:color="auto" w:fill="BDD6EE" w:themeFill="accent1" w:themeFillTint="66"/>
                          </w:tcPr>
                          <w:p w:rsidR="00500504" w:rsidRPr="00950B5C" w:rsidP="000F648E">
                            <w:pPr>
                              <w:jc w:val="both"/>
                              <w:rPr>
                                <w:b/>
                                <w:sz w:val="16"/>
                                <w:szCs w:val="16"/>
                              </w:rPr>
                            </w:pPr>
                          </w:p>
                        </w:tc>
                        <w:tc>
                          <w:tcPr>
                            <w:tcW w:w="1781" w:type="dxa"/>
                            <w:shd w:val="clear" w:color="auto" w:fill="BDD6EE" w:themeFill="accent1" w:themeFillTint="66"/>
                          </w:tcPr>
                          <w:p w:rsidR="00500504" w:rsidRPr="00950B5C" w:rsidP="000F648E">
                            <w:pPr>
                              <w:jc w:val="both"/>
                              <w:rPr>
                                <w:b/>
                                <w:sz w:val="16"/>
                                <w:szCs w:val="16"/>
                              </w:rPr>
                            </w:pPr>
                          </w:p>
                        </w:tc>
                      </w:tr>
                      <w:tr w:rsidTr="009E49B3">
                        <w:tblPrEx>
                          <w:tblW w:w="5000" w:type="pct"/>
                          <w:tblLayout w:type="fixed"/>
                          <w:tblLook w:val="04A0"/>
                        </w:tblPrEx>
                        <w:tc>
                          <w:tcPr>
                            <w:tcW w:w="4390" w:type="dxa"/>
                          </w:tcPr>
                          <w:p w:rsidR="00500504" w:rsidRPr="008A0ACC" w:rsidP="002774DF">
                            <w:pPr>
                              <w:jc w:val="both"/>
                              <w:rPr>
                                <w:sz w:val="16"/>
                                <w:szCs w:val="16"/>
                              </w:rPr>
                            </w:pPr>
                            <w:r w:rsidRPr="008A0ACC">
                              <w:rPr>
                                <w:sz w:val="16"/>
                                <w:szCs w:val="16"/>
                              </w:rPr>
                              <w:t xml:space="preserve">Penwortham </w:t>
                            </w:r>
                            <w:r w:rsidR="002774DF">
                              <w:rPr>
                                <w:sz w:val="16"/>
                                <w:szCs w:val="16"/>
                              </w:rPr>
                              <w:t>B</w:t>
                            </w:r>
                            <w:r w:rsidRPr="008A0ACC">
                              <w:rPr>
                                <w:sz w:val="16"/>
                                <w:szCs w:val="16"/>
                              </w:rPr>
                              <w:t>ypass</w:t>
                            </w:r>
                          </w:p>
                        </w:tc>
                        <w:tc>
                          <w:tcPr>
                            <w:tcW w:w="708" w:type="dxa"/>
                            <w:shd w:val="clear" w:color="auto" w:fill="70AD47" w:themeFill="accent6"/>
                            <w:vAlign w:val="center"/>
                          </w:tcPr>
                          <w:p w:rsidR="00500504" w:rsidRPr="008A0ACC" w:rsidP="000F648E">
                            <w:pPr>
                              <w:jc w:val="both"/>
                              <w:rPr>
                                <w:sz w:val="16"/>
                                <w:szCs w:val="16"/>
                              </w:rPr>
                            </w:pPr>
                          </w:p>
                        </w:tc>
                        <w:tc>
                          <w:tcPr>
                            <w:tcW w:w="1701" w:type="dxa"/>
                          </w:tcPr>
                          <w:p w:rsidR="00500504" w:rsidRPr="008A0ACC" w:rsidP="000F648E">
                            <w:pPr>
                              <w:jc w:val="both"/>
                              <w:rPr>
                                <w:sz w:val="16"/>
                                <w:szCs w:val="16"/>
                              </w:rPr>
                            </w:pPr>
                            <w:r w:rsidRPr="008A0ACC">
                              <w:rPr>
                                <w:sz w:val="16"/>
                                <w:szCs w:val="16"/>
                              </w:rPr>
                              <w:t>On site</w:t>
                            </w:r>
                          </w:p>
                        </w:tc>
                        <w:tc>
                          <w:tcPr>
                            <w:tcW w:w="1781" w:type="dxa"/>
                          </w:tcPr>
                          <w:p w:rsidR="00500504" w:rsidRPr="008A0ACC" w:rsidP="000F648E">
                            <w:pPr>
                              <w:jc w:val="both"/>
                              <w:rPr>
                                <w:sz w:val="16"/>
                                <w:szCs w:val="16"/>
                              </w:rPr>
                            </w:pPr>
                          </w:p>
                        </w:tc>
                      </w:tr>
                      <w:tr w:rsidTr="009E49B3">
                        <w:tblPrEx>
                          <w:tblW w:w="5000" w:type="pct"/>
                          <w:tblLayout w:type="fixed"/>
                          <w:tblLook w:val="04A0"/>
                        </w:tblPrEx>
                        <w:tc>
                          <w:tcPr>
                            <w:tcW w:w="4390" w:type="dxa"/>
                          </w:tcPr>
                          <w:p w:rsidR="00500504" w:rsidRPr="00E87974" w:rsidP="002774DF">
                            <w:pPr>
                              <w:jc w:val="both"/>
                              <w:rPr>
                                <w:sz w:val="16"/>
                                <w:szCs w:val="16"/>
                              </w:rPr>
                            </w:pPr>
                            <w:r w:rsidRPr="00E87974">
                              <w:rPr>
                                <w:sz w:val="16"/>
                                <w:szCs w:val="16"/>
                              </w:rPr>
                              <w:t xml:space="preserve">A582 </w:t>
                            </w:r>
                            <w:r w:rsidR="002774DF">
                              <w:rPr>
                                <w:sz w:val="16"/>
                                <w:szCs w:val="16"/>
                              </w:rPr>
                              <w:t>S</w:t>
                            </w:r>
                            <w:r w:rsidRPr="00E87974">
                              <w:rPr>
                                <w:sz w:val="16"/>
                                <w:szCs w:val="16"/>
                              </w:rPr>
                              <w:t xml:space="preserve">outh Ribble Western Distributor </w:t>
                            </w:r>
                            <w:r w:rsidRPr="00E87974">
                              <w:rPr>
                                <w:sz w:val="16"/>
                                <w:szCs w:val="16"/>
                              </w:rPr>
                              <w:t>dualling</w:t>
                            </w:r>
                            <w:r w:rsidRPr="00E87974">
                              <w:rPr>
                                <w:sz w:val="16"/>
                                <w:szCs w:val="16"/>
                              </w:rPr>
                              <w:t xml:space="preserve"> (SRWD)</w:t>
                            </w:r>
                          </w:p>
                        </w:tc>
                        <w:tc>
                          <w:tcPr>
                            <w:tcW w:w="708" w:type="dxa"/>
                            <w:shd w:val="clear" w:color="auto" w:fill="FF0000"/>
                            <w:vAlign w:val="center"/>
                          </w:tcPr>
                          <w:p w:rsidR="00500504" w:rsidRPr="00E87974" w:rsidP="000F648E">
                            <w:pPr>
                              <w:jc w:val="both"/>
                              <w:rPr>
                                <w:sz w:val="16"/>
                                <w:szCs w:val="16"/>
                              </w:rPr>
                            </w:pPr>
                          </w:p>
                        </w:tc>
                        <w:tc>
                          <w:tcPr>
                            <w:tcW w:w="1701" w:type="dxa"/>
                          </w:tcPr>
                          <w:p w:rsidR="00500504" w:rsidRPr="00E87974" w:rsidP="000F648E">
                            <w:pPr>
                              <w:jc w:val="both"/>
                              <w:rPr>
                                <w:sz w:val="16"/>
                                <w:szCs w:val="16"/>
                              </w:rPr>
                            </w:pPr>
                            <w:r>
                              <w:rPr>
                                <w:sz w:val="16"/>
                                <w:szCs w:val="16"/>
                              </w:rPr>
                              <w:t>P</w:t>
                            </w:r>
                            <w:r>
                              <w:rPr>
                                <w:sz w:val="16"/>
                                <w:szCs w:val="16"/>
                              </w:rPr>
                              <w:t>lanning</w:t>
                            </w:r>
                          </w:p>
                        </w:tc>
                        <w:tc>
                          <w:tcPr>
                            <w:tcW w:w="1781" w:type="dxa"/>
                          </w:tcPr>
                          <w:p w:rsidR="00500504" w:rsidP="000F648E">
                            <w:pPr>
                              <w:jc w:val="both"/>
                              <w:rPr>
                                <w:sz w:val="16"/>
                                <w:szCs w:val="16"/>
                              </w:rPr>
                            </w:pPr>
                            <w:r>
                              <w:rPr>
                                <w:sz w:val="16"/>
                                <w:szCs w:val="16"/>
                              </w:rPr>
                              <w:t>Funding</w:t>
                            </w:r>
                          </w:p>
                        </w:tc>
                      </w:tr>
                      <w:tr w:rsidTr="00377C4A">
                        <w:tblPrEx>
                          <w:tblW w:w="5000" w:type="pct"/>
                          <w:tblLayout w:type="fixed"/>
                          <w:tblLook w:val="04A0"/>
                        </w:tblPrEx>
                        <w:tc>
                          <w:tcPr>
                            <w:tcW w:w="4390" w:type="dxa"/>
                          </w:tcPr>
                          <w:p w:rsidR="00500504" w:rsidRPr="00E87974" w:rsidP="00E87974">
                            <w:pPr>
                              <w:jc w:val="both"/>
                              <w:rPr>
                                <w:sz w:val="16"/>
                                <w:szCs w:val="16"/>
                              </w:rPr>
                            </w:pPr>
                            <w:r w:rsidRPr="00E87974">
                              <w:rPr>
                                <w:sz w:val="16"/>
                                <w:szCs w:val="16"/>
                              </w:rPr>
                              <w:t>Hutton/Higher Penwortham/City Centre</w:t>
                            </w:r>
                          </w:p>
                        </w:tc>
                        <w:tc>
                          <w:tcPr>
                            <w:tcW w:w="708" w:type="dxa"/>
                            <w:shd w:val="clear" w:color="auto" w:fill="70AD47" w:themeFill="accent6"/>
                          </w:tcPr>
                          <w:p w:rsidR="00500504" w:rsidRPr="00E87974" w:rsidP="00E87974">
                            <w:pPr>
                              <w:jc w:val="both"/>
                              <w:rPr>
                                <w:sz w:val="16"/>
                                <w:szCs w:val="16"/>
                              </w:rPr>
                            </w:pPr>
                          </w:p>
                        </w:tc>
                        <w:tc>
                          <w:tcPr>
                            <w:tcW w:w="1701" w:type="dxa"/>
                          </w:tcPr>
                          <w:p w:rsidR="00500504" w:rsidRPr="00E87974" w:rsidP="00E87974">
                            <w:pPr>
                              <w:jc w:val="both"/>
                              <w:rPr>
                                <w:sz w:val="16"/>
                                <w:szCs w:val="16"/>
                              </w:rPr>
                            </w:pPr>
                            <w:r w:rsidRPr="00E87974">
                              <w:rPr>
                                <w:sz w:val="16"/>
                                <w:szCs w:val="16"/>
                              </w:rPr>
                              <w:t>Planning</w:t>
                            </w:r>
                            <w:r>
                              <w:rPr>
                                <w:sz w:val="16"/>
                                <w:szCs w:val="16"/>
                              </w:rPr>
                              <w:t>/design</w:t>
                            </w:r>
                          </w:p>
                        </w:tc>
                        <w:tc>
                          <w:tcPr>
                            <w:tcW w:w="1781" w:type="dxa"/>
                          </w:tcPr>
                          <w:p w:rsidR="00500504" w:rsidRPr="00E87974" w:rsidP="00E87974">
                            <w:pPr>
                              <w:jc w:val="both"/>
                              <w:rPr>
                                <w:sz w:val="16"/>
                                <w:szCs w:val="16"/>
                              </w:rPr>
                            </w:pPr>
                          </w:p>
                        </w:tc>
                      </w:tr>
                      <w:tr w:rsidTr="009E49B3">
                        <w:tblPrEx>
                          <w:tblW w:w="5000" w:type="pct"/>
                          <w:tblLayout w:type="fixed"/>
                          <w:tblLook w:val="04A0"/>
                        </w:tblPrEx>
                        <w:tc>
                          <w:tcPr>
                            <w:tcW w:w="4390" w:type="dxa"/>
                            <w:shd w:val="clear" w:color="auto" w:fill="BDD6EE" w:themeFill="accent1" w:themeFillTint="66"/>
                          </w:tcPr>
                          <w:p w:rsidR="00500504" w:rsidRPr="008A0ACC" w:rsidP="000F648E">
                            <w:pPr>
                              <w:jc w:val="both"/>
                              <w:rPr>
                                <w:b/>
                                <w:sz w:val="16"/>
                                <w:szCs w:val="16"/>
                              </w:rPr>
                            </w:pPr>
                            <w:r w:rsidRPr="008A0ACC">
                              <w:rPr>
                                <w:b/>
                                <w:sz w:val="16"/>
                                <w:szCs w:val="16"/>
                              </w:rPr>
                              <w:t xml:space="preserve">City Deal Zone 5: Leyland and </w:t>
                            </w:r>
                            <w:r w:rsidRPr="008A0ACC">
                              <w:rPr>
                                <w:b/>
                                <w:sz w:val="16"/>
                                <w:szCs w:val="16"/>
                              </w:rPr>
                              <w:t>Cuerden</w:t>
                            </w:r>
                          </w:p>
                        </w:tc>
                        <w:tc>
                          <w:tcPr>
                            <w:tcW w:w="708" w:type="dxa"/>
                            <w:shd w:val="clear" w:color="auto" w:fill="BDD6EE" w:themeFill="accent1" w:themeFillTint="66"/>
                            <w:vAlign w:val="center"/>
                          </w:tcPr>
                          <w:p w:rsidR="00500504" w:rsidRPr="008A0ACC" w:rsidP="000F648E">
                            <w:pPr>
                              <w:jc w:val="both"/>
                              <w:rPr>
                                <w:b/>
                                <w:sz w:val="16"/>
                                <w:szCs w:val="16"/>
                              </w:rPr>
                            </w:pPr>
                          </w:p>
                        </w:tc>
                        <w:tc>
                          <w:tcPr>
                            <w:tcW w:w="1701" w:type="dxa"/>
                            <w:shd w:val="clear" w:color="auto" w:fill="BDD6EE" w:themeFill="accent1" w:themeFillTint="66"/>
                          </w:tcPr>
                          <w:p w:rsidR="00500504" w:rsidRPr="008A0ACC" w:rsidP="000F648E">
                            <w:pPr>
                              <w:jc w:val="both"/>
                              <w:rPr>
                                <w:b/>
                                <w:sz w:val="16"/>
                                <w:szCs w:val="16"/>
                              </w:rPr>
                            </w:pPr>
                          </w:p>
                        </w:tc>
                        <w:tc>
                          <w:tcPr>
                            <w:tcW w:w="1781" w:type="dxa"/>
                            <w:shd w:val="clear" w:color="auto" w:fill="BDD6EE" w:themeFill="accent1" w:themeFillTint="66"/>
                          </w:tcPr>
                          <w:p w:rsidR="00500504" w:rsidRPr="008A0ACC" w:rsidP="000F648E">
                            <w:pPr>
                              <w:jc w:val="both"/>
                              <w:rPr>
                                <w:b/>
                                <w:sz w:val="16"/>
                                <w:szCs w:val="16"/>
                              </w:rPr>
                            </w:pPr>
                          </w:p>
                        </w:tc>
                      </w:tr>
                      <w:tr w:rsidTr="009E49B3">
                        <w:tblPrEx>
                          <w:tblW w:w="5000" w:type="pct"/>
                          <w:tblLayout w:type="fixed"/>
                          <w:tblLook w:val="04A0"/>
                        </w:tblPrEx>
                        <w:tc>
                          <w:tcPr>
                            <w:tcW w:w="4390" w:type="dxa"/>
                          </w:tcPr>
                          <w:p w:rsidR="00500504" w:rsidRPr="008A0ACC" w:rsidP="000F648E">
                            <w:pPr>
                              <w:jc w:val="both"/>
                              <w:rPr>
                                <w:sz w:val="16"/>
                                <w:szCs w:val="16"/>
                              </w:rPr>
                            </w:pPr>
                            <w:r w:rsidRPr="008A0ACC">
                              <w:rPr>
                                <w:sz w:val="16"/>
                                <w:szCs w:val="16"/>
                              </w:rPr>
                              <w:t>Cuerden</w:t>
                            </w:r>
                            <w:r w:rsidRPr="008A0ACC">
                              <w:rPr>
                                <w:sz w:val="16"/>
                                <w:szCs w:val="16"/>
                              </w:rPr>
                              <w:t xml:space="preserve"> Strategic Site – road infrastructure</w:t>
                            </w:r>
                          </w:p>
                        </w:tc>
                        <w:tc>
                          <w:tcPr>
                            <w:tcW w:w="708" w:type="dxa"/>
                            <w:shd w:val="clear" w:color="auto" w:fill="FFC000" w:themeFill="accent4"/>
                            <w:vAlign w:val="center"/>
                          </w:tcPr>
                          <w:p w:rsidR="00500504" w:rsidRPr="008A0ACC" w:rsidP="000F648E">
                            <w:pPr>
                              <w:jc w:val="both"/>
                              <w:rPr>
                                <w:sz w:val="16"/>
                                <w:szCs w:val="16"/>
                              </w:rPr>
                            </w:pPr>
                          </w:p>
                        </w:tc>
                        <w:tc>
                          <w:tcPr>
                            <w:tcW w:w="1701" w:type="dxa"/>
                          </w:tcPr>
                          <w:p w:rsidR="00500504" w:rsidRPr="008A0ACC" w:rsidP="000F648E">
                            <w:pPr>
                              <w:jc w:val="both"/>
                              <w:rPr>
                                <w:sz w:val="16"/>
                                <w:szCs w:val="16"/>
                              </w:rPr>
                            </w:pPr>
                            <w:r>
                              <w:rPr>
                                <w:sz w:val="16"/>
                                <w:szCs w:val="16"/>
                              </w:rPr>
                              <w:t>Under review</w:t>
                            </w:r>
                          </w:p>
                        </w:tc>
                        <w:tc>
                          <w:tcPr>
                            <w:tcW w:w="1781" w:type="dxa"/>
                          </w:tcPr>
                          <w:p w:rsidR="00500504" w:rsidP="000F648E">
                            <w:pPr>
                              <w:jc w:val="both"/>
                              <w:rPr>
                                <w:sz w:val="16"/>
                                <w:szCs w:val="16"/>
                              </w:rPr>
                            </w:pPr>
                            <w:r>
                              <w:rPr>
                                <w:sz w:val="16"/>
                                <w:szCs w:val="16"/>
                              </w:rPr>
                              <w:t>Under review</w:t>
                            </w:r>
                          </w:p>
                        </w:tc>
                      </w:tr>
                      <w:tr w:rsidTr="009E49B3">
                        <w:tblPrEx>
                          <w:tblW w:w="5000" w:type="pct"/>
                          <w:tblLayout w:type="fixed"/>
                          <w:tblLook w:val="04A0"/>
                        </w:tblPrEx>
                        <w:tc>
                          <w:tcPr>
                            <w:tcW w:w="4390" w:type="dxa"/>
                            <w:shd w:val="clear" w:color="auto" w:fill="BDD6EE" w:themeFill="accent1" w:themeFillTint="66"/>
                          </w:tcPr>
                          <w:p w:rsidR="00500504" w:rsidRPr="00E87974" w:rsidP="000F648E">
                            <w:pPr>
                              <w:jc w:val="both"/>
                              <w:rPr>
                                <w:b/>
                                <w:sz w:val="16"/>
                                <w:szCs w:val="16"/>
                              </w:rPr>
                            </w:pPr>
                            <w:r w:rsidRPr="00E87974">
                              <w:rPr>
                                <w:b/>
                                <w:sz w:val="16"/>
                                <w:szCs w:val="16"/>
                              </w:rPr>
                              <w:t>City Deal Zone 6: Bamber Bridge</w:t>
                            </w:r>
                          </w:p>
                        </w:tc>
                        <w:tc>
                          <w:tcPr>
                            <w:tcW w:w="708" w:type="dxa"/>
                            <w:shd w:val="clear" w:color="auto" w:fill="BDD6EE" w:themeFill="accent1" w:themeFillTint="66"/>
                            <w:vAlign w:val="center"/>
                          </w:tcPr>
                          <w:p w:rsidR="00500504" w:rsidRPr="00E87974" w:rsidP="000F648E">
                            <w:pPr>
                              <w:jc w:val="both"/>
                              <w:rPr>
                                <w:b/>
                                <w:sz w:val="16"/>
                                <w:szCs w:val="16"/>
                              </w:rPr>
                            </w:pPr>
                          </w:p>
                        </w:tc>
                        <w:tc>
                          <w:tcPr>
                            <w:tcW w:w="1701" w:type="dxa"/>
                            <w:shd w:val="clear" w:color="auto" w:fill="BDD6EE" w:themeFill="accent1" w:themeFillTint="66"/>
                          </w:tcPr>
                          <w:p w:rsidR="00500504" w:rsidRPr="00E87974" w:rsidP="000F648E">
                            <w:pPr>
                              <w:jc w:val="both"/>
                              <w:rPr>
                                <w:b/>
                                <w:sz w:val="16"/>
                                <w:szCs w:val="16"/>
                              </w:rPr>
                            </w:pPr>
                          </w:p>
                        </w:tc>
                        <w:tc>
                          <w:tcPr>
                            <w:tcW w:w="1781" w:type="dxa"/>
                            <w:shd w:val="clear" w:color="auto" w:fill="BDD6EE" w:themeFill="accent1" w:themeFillTint="66"/>
                          </w:tcPr>
                          <w:p w:rsidR="00500504" w:rsidRPr="00E87974" w:rsidP="000F648E">
                            <w:pPr>
                              <w:jc w:val="both"/>
                              <w:rPr>
                                <w:b/>
                                <w:sz w:val="16"/>
                                <w:szCs w:val="16"/>
                              </w:rPr>
                            </w:pPr>
                          </w:p>
                        </w:tc>
                      </w:tr>
                      <w:tr w:rsidTr="009E49B3">
                        <w:tblPrEx>
                          <w:tblW w:w="5000" w:type="pct"/>
                          <w:tblLayout w:type="fixed"/>
                          <w:tblLook w:val="04A0"/>
                        </w:tblPrEx>
                        <w:tc>
                          <w:tcPr>
                            <w:tcW w:w="4390" w:type="dxa"/>
                          </w:tcPr>
                          <w:p w:rsidR="00500504" w:rsidRPr="00E87974" w:rsidP="000F648E">
                            <w:pPr>
                              <w:jc w:val="both"/>
                              <w:rPr>
                                <w:sz w:val="16"/>
                                <w:szCs w:val="16"/>
                              </w:rPr>
                            </w:pPr>
                            <w:r w:rsidRPr="00E87974">
                              <w:rPr>
                                <w:sz w:val="16"/>
                                <w:szCs w:val="16"/>
                              </w:rPr>
                              <w:t>Bamber Bridge/City Centre</w:t>
                            </w:r>
                          </w:p>
                        </w:tc>
                        <w:tc>
                          <w:tcPr>
                            <w:tcW w:w="708" w:type="dxa"/>
                            <w:shd w:val="clear" w:color="auto" w:fill="FFC000" w:themeFill="accent4"/>
                            <w:vAlign w:val="center"/>
                          </w:tcPr>
                          <w:p w:rsidR="00500504" w:rsidRPr="00E87974" w:rsidP="000F648E">
                            <w:pPr>
                              <w:jc w:val="both"/>
                              <w:rPr>
                                <w:sz w:val="16"/>
                                <w:szCs w:val="16"/>
                              </w:rPr>
                            </w:pPr>
                          </w:p>
                        </w:tc>
                        <w:tc>
                          <w:tcPr>
                            <w:tcW w:w="1701" w:type="dxa"/>
                          </w:tcPr>
                          <w:p w:rsidR="00500504" w:rsidRPr="00E87974" w:rsidP="000F648E">
                            <w:pPr>
                              <w:jc w:val="both"/>
                              <w:rPr>
                                <w:sz w:val="16"/>
                                <w:szCs w:val="16"/>
                              </w:rPr>
                            </w:pPr>
                            <w:r w:rsidRPr="00E87974">
                              <w:rPr>
                                <w:sz w:val="16"/>
                                <w:szCs w:val="16"/>
                              </w:rPr>
                              <w:t>On site</w:t>
                            </w:r>
                            <w:r>
                              <w:rPr>
                                <w:sz w:val="16"/>
                                <w:szCs w:val="16"/>
                              </w:rPr>
                              <w:t>/site complete</w:t>
                            </w:r>
                          </w:p>
                        </w:tc>
                        <w:tc>
                          <w:tcPr>
                            <w:tcW w:w="1781" w:type="dxa"/>
                          </w:tcPr>
                          <w:p w:rsidR="00500504" w:rsidRPr="00E87974" w:rsidP="000F648E">
                            <w:pPr>
                              <w:jc w:val="both"/>
                              <w:rPr>
                                <w:sz w:val="16"/>
                                <w:szCs w:val="16"/>
                              </w:rPr>
                            </w:pPr>
                            <w:r>
                              <w:rPr>
                                <w:sz w:val="16"/>
                                <w:szCs w:val="16"/>
                              </w:rPr>
                              <w:t>Delivery delay</w:t>
                            </w:r>
                          </w:p>
                        </w:tc>
                      </w:tr>
                      <w:tr w:rsidTr="009E49B3">
                        <w:tblPrEx>
                          <w:tblW w:w="5000" w:type="pct"/>
                          <w:tblLayout w:type="fixed"/>
                          <w:tblLook w:val="04A0"/>
                        </w:tblPrEx>
                        <w:tc>
                          <w:tcPr>
                            <w:tcW w:w="4390" w:type="dxa"/>
                            <w:shd w:val="clear" w:color="auto" w:fill="BDD6EE" w:themeFill="accent1" w:themeFillTint="66"/>
                          </w:tcPr>
                          <w:p w:rsidR="00500504" w:rsidRPr="00E87974" w:rsidP="000F648E">
                            <w:pPr>
                              <w:jc w:val="both"/>
                              <w:rPr>
                                <w:b/>
                                <w:sz w:val="16"/>
                                <w:szCs w:val="16"/>
                              </w:rPr>
                            </w:pPr>
                            <w:r w:rsidRPr="00E87974">
                              <w:rPr>
                                <w:b/>
                                <w:sz w:val="16"/>
                                <w:szCs w:val="16"/>
                              </w:rPr>
                              <w:t>None Zone specific</w:t>
                            </w:r>
                          </w:p>
                        </w:tc>
                        <w:tc>
                          <w:tcPr>
                            <w:tcW w:w="708" w:type="dxa"/>
                            <w:shd w:val="clear" w:color="auto" w:fill="BDD6EE" w:themeFill="accent1" w:themeFillTint="66"/>
                            <w:vAlign w:val="center"/>
                          </w:tcPr>
                          <w:p w:rsidR="00500504" w:rsidRPr="00E87974" w:rsidP="000F648E">
                            <w:pPr>
                              <w:jc w:val="both"/>
                              <w:rPr>
                                <w:b/>
                                <w:sz w:val="16"/>
                                <w:szCs w:val="16"/>
                              </w:rPr>
                            </w:pPr>
                          </w:p>
                        </w:tc>
                        <w:tc>
                          <w:tcPr>
                            <w:tcW w:w="1701" w:type="dxa"/>
                            <w:shd w:val="clear" w:color="auto" w:fill="BDD6EE" w:themeFill="accent1" w:themeFillTint="66"/>
                          </w:tcPr>
                          <w:p w:rsidR="00500504" w:rsidRPr="00E87974" w:rsidP="000F648E">
                            <w:pPr>
                              <w:jc w:val="both"/>
                              <w:rPr>
                                <w:b/>
                                <w:sz w:val="16"/>
                                <w:szCs w:val="16"/>
                              </w:rPr>
                            </w:pPr>
                          </w:p>
                        </w:tc>
                        <w:tc>
                          <w:tcPr>
                            <w:tcW w:w="1781" w:type="dxa"/>
                            <w:shd w:val="clear" w:color="auto" w:fill="BDD6EE" w:themeFill="accent1" w:themeFillTint="66"/>
                          </w:tcPr>
                          <w:p w:rsidR="00500504" w:rsidRPr="00E87974" w:rsidP="000F648E">
                            <w:pPr>
                              <w:jc w:val="both"/>
                              <w:rPr>
                                <w:b/>
                                <w:sz w:val="16"/>
                                <w:szCs w:val="16"/>
                              </w:rPr>
                            </w:pPr>
                          </w:p>
                        </w:tc>
                      </w:tr>
                      <w:tr w:rsidTr="009E49B3">
                        <w:tblPrEx>
                          <w:tblW w:w="5000" w:type="pct"/>
                          <w:tblLayout w:type="fixed"/>
                          <w:tblLook w:val="04A0"/>
                        </w:tblPrEx>
                        <w:tc>
                          <w:tcPr>
                            <w:tcW w:w="4390" w:type="dxa"/>
                          </w:tcPr>
                          <w:p w:rsidR="00500504" w:rsidRPr="008A0ACC" w:rsidP="007D7779">
                            <w:pPr>
                              <w:jc w:val="both"/>
                              <w:rPr>
                                <w:sz w:val="16"/>
                                <w:szCs w:val="16"/>
                              </w:rPr>
                            </w:pPr>
                            <w:r w:rsidRPr="008A0ACC">
                              <w:rPr>
                                <w:sz w:val="16"/>
                                <w:szCs w:val="16"/>
                              </w:rPr>
                              <w:t xml:space="preserve">Corridors </w:t>
                            </w:r>
                            <w:r>
                              <w:rPr>
                                <w:sz w:val="16"/>
                                <w:szCs w:val="16"/>
                              </w:rPr>
                              <w:t xml:space="preserve">and local centres </w:t>
                            </w:r>
                            <w:r w:rsidRPr="008A0ACC">
                              <w:rPr>
                                <w:sz w:val="16"/>
                                <w:szCs w:val="16"/>
                              </w:rPr>
                              <w:t xml:space="preserve">master planning </w:t>
                            </w:r>
                          </w:p>
                        </w:tc>
                        <w:tc>
                          <w:tcPr>
                            <w:tcW w:w="708" w:type="dxa"/>
                            <w:shd w:val="clear" w:color="auto" w:fill="FFC000" w:themeFill="accent4"/>
                            <w:vAlign w:val="center"/>
                          </w:tcPr>
                          <w:p w:rsidR="00500504" w:rsidRPr="008A0ACC" w:rsidP="000F648E">
                            <w:pPr>
                              <w:jc w:val="both"/>
                              <w:rPr>
                                <w:sz w:val="16"/>
                                <w:szCs w:val="16"/>
                              </w:rPr>
                            </w:pPr>
                          </w:p>
                        </w:tc>
                        <w:tc>
                          <w:tcPr>
                            <w:tcW w:w="1701" w:type="dxa"/>
                          </w:tcPr>
                          <w:p w:rsidR="00500504" w:rsidRPr="008A0ACC" w:rsidP="000F648E">
                            <w:pPr>
                              <w:jc w:val="both"/>
                              <w:rPr>
                                <w:sz w:val="16"/>
                                <w:szCs w:val="16"/>
                              </w:rPr>
                            </w:pPr>
                            <w:r>
                              <w:rPr>
                                <w:sz w:val="16"/>
                                <w:szCs w:val="16"/>
                              </w:rPr>
                              <w:t>U</w:t>
                            </w:r>
                            <w:r w:rsidRPr="008A0ACC">
                              <w:rPr>
                                <w:sz w:val="16"/>
                                <w:szCs w:val="16"/>
                              </w:rPr>
                              <w:t>nderway</w:t>
                            </w:r>
                          </w:p>
                        </w:tc>
                        <w:tc>
                          <w:tcPr>
                            <w:tcW w:w="1781" w:type="dxa"/>
                          </w:tcPr>
                          <w:p w:rsidR="00500504" w:rsidRPr="008A0ACC" w:rsidP="000F648E">
                            <w:pPr>
                              <w:jc w:val="both"/>
                              <w:rPr>
                                <w:sz w:val="16"/>
                                <w:szCs w:val="16"/>
                              </w:rPr>
                            </w:pPr>
                            <w:r>
                              <w:rPr>
                                <w:sz w:val="16"/>
                                <w:szCs w:val="16"/>
                              </w:rPr>
                              <w:t>Officer resources</w:t>
                            </w:r>
                          </w:p>
                        </w:tc>
                      </w:tr>
                      <w:tr w:rsidTr="009E49B3">
                        <w:tblPrEx>
                          <w:tblW w:w="5000" w:type="pct"/>
                          <w:tblLayout w:type="fixed"/>
                          <w:tblLook w:val="04A0"/>
                        </w:tblPrEx>
                        <w:tc>
                          <w:tcPr>
                            <w:tcW w:w="4390" w:type="dxa"/>
                          </w:tcPr>
                          <w:p w:rsidR="00500504" w:rsidRPr="008A0ACC" w:rsidP="000F648E">
                            <w:pPr>
                              <w:jc w:val="both"/>
                              <w:rPr>
                                <w:sz w:val="16"/>
                                <w:szCs w:val="16"/>
                              </w:rPr>
                            </w:pPr>
                            <w:r>
                              <w:rPr>
                                <w:sz w:val="16"/>
                                <w:szCs w:val="16"/>
                              </w:rPr>
                              <w:t>Cycling and walking delivery plan</w:t>
                            </w:r>
                          </w:p>
                        </w:tc>
                        <w:tc>
                          <w:tcPr>
                            <w:tcW w:w="708" w:type="dxa"/>
                            <w:shd w:val="clear" w:color="auto" w:fill="FFC000" w:themeFill="accent4"/>
                            <w:vAlign w:val="center"/>
                          </w:tcPr>
                          <w:p w:rsidR="00500504" w:rsidRPr="008A0ACC" w:rsidP="000F648E">
                            <w:pPr>
                              <w:jc w:val="both"/>
                              <w:rPr>
                                <w:sz w:val="16"/>
                                <w:szCs w:val="16"/>
                              </w:rPr>
                            </w:pPr>
                          </w:p>
                        </w:tc>
                        <w:tc>
                          <w:tcPr>
                            <w:tcW w:w="1701" w:type="dxa"/>
                          </w:tcPr>
                          <w:p w:rsidR="00500504" w:rsidRPr="008A0ACC" w:rsidP="000F648E">
                            <w:pPr>
                              <w:jc w:val="both"/>
                              <w:rPr>
                                <w:sz w:val="16"/>
                                <w:szCs w:val="16"/>
                              </w:rPr>
                            </w:pPr>
                            <w:r>
                              <w:rPr>
                                <w:sz w:val="16"/>
                                <w:szCs w:val="16"/>
                              </w:rPr>
                              <w:t>U</w:t>
                            </w:r>
                            <w:r>
                              <w:rPr>
                                <w:sz w:val="16"/>
                                <w:szCs w:val="16"/>
                              </w:rPr>
                              <w:t>nderway</w:t>
                            </w:r>
                          </w:p>
                        </w:tc>
                        <w:tc>
                          <w:tcPr>
                            <w:tcW w:w="1781" w:type="dxa"/>
                          </w:tcPr>
                          <w:p w:rsidR="00500504" w:rsidP="000F648E">
                            <w:pPr>
                              <w:jc w:val="both"/>
                              <w:rPr>
                                <w:sz w:val="16"/>
                                <w:szCs w:val="16"/>
                              </w:rPr>
                            </w:pPr>
                            <w:r>
                              <w:rPr>
                                <w:sz w:val="16"/>
                                <w:szCs w:val="16"/>
                              </w:rPr>
                              <w:t>Officer resources</w:t>
                            </w:r>
                          </w:p>
                        </w:tc>
                      </w:tr>
                    </w:tbl>
                    <w:p w:rsidR="00806603" w:rsidP="000F648E">
                      <w:pPr>
                        <w:spacing w:after="0" w:line="240" w:lineRule="auto"/>
                        <w:jc w:val="both"/>
                        <w:rPr>
                          <w:color w:val="0099CC"/>
                          <w:sz w:val="18"/>
                          <w:szCs w:val="18"/>
                        </w:rPr>
                      </w:pPr>
                    </w:p>
                    <w:tbl>
                      <w:tblPr>
                        <w:tblStyle w:val="TableGrid"/>
                        <w:tblW w:w="8500" w:type="dxa"/>
                        <w:tblLayout w:type="fixed"/>
                        <w:tblLook w:val="04A0"/>
                      </w:tblPr>
                      <w:tblGrid>
                        <w:gridCol w:w="8500"/>
                      </w:tblGrid>
                      <w:tr w:rsidTr="00A2125B">
                        <w:tblPrEx>
                          <w:tblW w:w="8500" w:type="dxa"/>
                          <w:tblLayout w:type="fixed"/>
                          <w:tblLook w:val="04A0"/>
                        </w:tblPrEx>
                        <w:tc>
                          <w:tcPr>
                            <w:tcW w:w="8500" w:type="dxa"/>
                            <w:shd w:val="clear" w:color="auto" w:fill="BDD6EE" w:themeFill="accent1" w:themeFillTint="66"/>
                          </w:tcPr>
                          <w:p w:rsidR="00A2125B" w:rsidRPr="00A2125B" w:rsidP="00167372">
                            <w:pPr>
                              <w:jc w:val="both"/>
                              <w:rPr>
                                <w:b/>
                                <w:sz w:val="16"/>
                                <w:szCs w:val="16"/>
                              </w:rPr>
                            </w:pPr>
                            <w:r w:rsidRPr="00A2125B">
                              <w:rPr>
                                <w:b/>
                                <w:sz w:val="20"/>
                                <w:szCs w:val="20"/>
                              </w:rPr>
                              <w:t xml:space="preserve">Projects completed </w:t>
                            </w:r>
                            <w:r w:rsidR="00167372">
                              <w:rPr>
                                <w:b/>
                                <w:sz w:val="20"/>
                                <w:szCs w:val="20"/>
                              </w:rPr>
                              <w:t>this quarter</w:t>
                            </w:r>
                            <w:r w:rsidRPr="00A2125B">
                              <w:rPr>
                                <w:b/>
                                <w:sz w:val="20"/>
                                <w:szCs w:val="20"/>
                              </w:rPr>
                              <w:t xml:space="preserve"> </w:t>
                            </w:r>
                            <w:r w:rsidR="00921EC7">
                              <w:rPr>
                                <w:b/>
                                <w:sz w:val="20"/>
                                <w:szCs w:val="20"/>
                              </w:rPr>
                              <w:t xml:space="preserve"> or removed from programme</w:t>
                            </w:r>
                          </w:p>
                        </w:tc>
                      </w:tr>
                      <w:tr w:rsidTr="00A2125B">
                        <w:tblPrEx>
                          <w:tblW w:w="8500" w:type="dxa"/>
                          <w:tblLayout w:type="fixed"/>
                          <w:tblLook w:val="04A0"/>
                        </w:tblPrEx>
                        <w:tc>
                          <w:tcPr>
                            <w:tcW w:w="8500" w:type="dxa"/>
                          </w:tcPr>
                          <w:p w:rsidR="00A2125B" w:rsidRPr="00E87974" w:rsidP="00167372">
                            <w:pPr>
                              <w:jc w:val="both"/>
                              <w:rPr>
                                <w:sz w:val="16"/>
                                <w:szCs w:val="16"/>
                              </w:rPr>
                            </w:pPr>
                            <w:r w:rsidRPr="008A0ACC">
                              <w:rPr>
                                <w:sz w:val="16"/>
                                <w:szCs w:val="16"/>
                              </w:rPr>
                              <w:t>Preston Bus Station – concrete repairs/car park</w:t>
                            </w:r>
                            <w:r>
                              <w:rPr>
                                <w:sz w:val="16"/>
                                <w:szCs w:val="16"/>
                              </w:rPr>
                              <w:t xml:space="preserve"> </w:t>
                            </w:r>
                          </w:p>
                        </w:tc>
                      </w:tr>
                      <w:tr w:rsidTr="00A2125B">
                        <w:tblPrEx>
                          <w:tblW w:w="8500" w:type="dxa"/>
                          <w:tblLayout w:type="fixed"/>
                          <w:tblLook w:val="04A0"/>
                        </w:tblPrEx>
                        <w:tc>
                          <w:tcPr>
                            <w:tcW w:w="8500" w:type="dxa"/>
                          </w:tcPr>
                          <w:p w:rsidR="00A2125B" w:rsidRPr="00E87974" w:rsidP="0021252F">
                            <w:pPr>
                              <w:jc w:val="both"/>
                              <w:rPr>
                                <w:sz w:val="16"/>
                                <w:szCs w:val="16"/>
                              </w:rPr>
                            </w:pPr>
                            <w:r w:rsidRPr="008A0ACC">
                              <w:rPr>
                                <w:sz w:val="16"/>
                                <w:szCs w:val="16"/>
                              </w:rPr>
                              <w:t>Preston Bus Station – refurb of concourse</w:t>
                            </w:r>
                          </w:p>
                        </w:tc>
                      </w:tr>
                      <w:tr w:rsidTr="00A2125B">
                        <w:tblPrEx>
                          <w:tblW w:w="8500" w:type="dxa"/>
                          <w:tblLayout w:type="fixed"/>
                          <w:tblLook w:val="04A0"/>
                        </w:tblPrEx>
                        <w:tc>
                          <w:tcPr>
                            <w:tcW w:w="8500" w:type="dxa"/>
                          </w:tcPr>
                          <w:p w:rsidR="00167372" w:rsidRPr="00E87974" w:rsidP="001B0001">
                            <w:pPr>
                              <w:jc w:val="both"/>
                              <w:rPr>
                                <w:sz w:val="16"/>
                                <w:szCs w:val="16"/>
                              </w:rPr>
                            </w:pPr>
                            <w:r w:rsidRPr="008A0ACC">
                              <w:rPr>
                                <w:sz w:val="16"/>
                                <w:szCs w:val="16"/>
                              </w:rPr>
                              <w:t xml:space="preserve">Preston </w:t>
                            </w:r>
                            <w:r w:rsidR="001B0001">
                              <w:rPr>
                                <w:sz w:val="16"/>
                                <w:szCs w:val="16"/>
                              </w:rPr>
                              <w:t>B</w:t>
                            </w:r>
                            <w:r w:rsidRPr="008A0ACC">
                              <w:rPr>
                                <w:sz w:val="16"/>
                                <w:szCs w:val="16"/>
                              </w:rPr>
                              <w:t>us Station – on site highways works</w:t>
                            </w:r>
                          </w:p>
                        </w:tc>
                      </w:tr>
                      <w:tr w:rsidTr="00A2125B">
                        <w:tblPrEx>
                          <w:tblW w:w="8500" w:type="dxa"/>
                          <w:tblLayout w:type="fixed"/>
                          <w:tblLook w:val="04A0"/>
                        </w:tblPrEx>
                        <w:tc>
                          <w:tcPr>
                            <w:tcW w:w="8500" w:type="dxa"/>
                          </w:tcPr>
                          <w:p w:rsidR="00A2125B" w:rsidRPr="00E87974" w:rsidP="001A2059">
                            <w:pPr>
                              <w:jc w:val="both"/>
                              <w:rPr>
                                <w:sz w:val="16"/>
                                <w:szCs w:val="16"/>
                              </w:rPr>
                            </w:pPr>
                            <w:r>
                              <w:rPr>
                                <w:sz w:val="16"/>
                                <w:szCs w:val="16"/>
                              </w:rPr>
                              <w:t xml:space="preserve">Preston </w:t>
                            </w:r>
                            <w:r w:rsidR="001A2059">
                              <w:rPr>
                                <w:sz w:val="16"/>
                                <w:szCs w:val="16"/>
                              </w:rPr>
                              <w:t>B</w:t>
                            </w:r>
                            <w:r>
                              <w:rPr>
                                <w:sz w:val="16"/>
                                <w:szCs w:val="16"/>
                              </w:rPr>
                              <w:t>us station – Youth Zone – removed from programme</w:t>
                            </w:r>
                          </w:p>
                        </w:tc>
                      </w:tr>
                    </w:tbl>
                    <w:p w:rsidR="0021252F" w:rsidP="000F648E">
                      <w:pPr>
                        <w:spacing w:after="0" w:line="240" w:lineRule="auto"/>
                        <w:jc w:val="both"/>
                        <w:rPr>
                          <w:color w:val="2E74B5" w:themeColor="accent1" w:themeShade="BF"/>
                          <w:sz w:val="18"/>
                          <w:szCs w:val="18"/>
                        </w:rPr>
                      </w:pPr>
                    </w:p>
                    <w:tbl>
                      <w:tblPr>
                        <w:tblStyle w:val="TableGrid"/>
                        <w:tblW w:w="8500" w:type="dxa"/>
                        <w:tblLayout w:type="fixed"/>
                        <w:tblLook w:val="04A0"/>
                      </w:tblPr>
                      <w:tblGrid>
                        <w:gridCol w:w="8500"/>
                      </w:tblGrid>
                      <w:tr w:rsidTr="000D0DFE">
                        <w:tblPrEx>
                          <w:tblW w:w="8500" w:type="dxa"/>
                          <w:tblLayout w:type="fixed"/>
                          <w:tblLook w:val="04A0"/>
                        </w:tblPrEx>
                        <w:tc>
                          <w:tcPr>
                            <w:tcW w:w="8500" w:type="dxa"/>
                            <w:shd w:val="clear" w:color="auto" w:fill="BDD6EE" w:themeFill="accent1" w:themeFillTint="66"/>
                          </w:tcPr>
                          <w:p w:rsidR="00F71DD6" w:rsidRPr="00A2125B" w:rsidP="00376F1E">
                            <w:pPr>
                              <w:jc w:val="both"/>
                              <w:rPr>
                                <w:b/>
                                <w:sz w:val="16"/>
                                <w:szCs w:val="16"/>
                              </w:rPr>
                            </w:pPr>
                            <w:r>
                              <w:rPr>
                                <w:b/>
                                <w:sz w:val="20"/>
                                <w:szCs w:val="20"/>
                              </w:rPr>
                              <w:t xml:space="preserve">Infrastructure </w:t>
                            </w:r>
                            <w:r>
                              <w:rPr>
                                <w:b/>
                                <w:sz w:val="20"/>
                                <w:szCs w:val="20"/>
                              </w:rPr>
                              <w:t xml:space="preserve">Investment </w:t>
                            </w:r>
                            <w:r>
                              <w:rPr>
                                <w:b/>
                                <w:sz w:val="20"/>
                                <w:szCs w:val="20"/>
                              </w:rPr>
                              <w:t xml:space="preserve"> </w:t>
                            </w:r>
                            <w:r w:rsidR="00376F1E">
                              <w:rPr>
                                <w:b/>
                                <w:sz w:val="20"/>
                                <w:szCs w:val="20"/>
                              </w:rPr>
                              <w:t>in City Deal</w:t>
                            </w:r>
                            <w:r>
                              <w:rPr>
                                <w:b/>
                                <w:sz w:val="20"/>
                                <w:szCs w:val="20"/>
                              </w:rPr>
                              <w:t xml:space="preserve"> – </w:t>
                            </w:r>
                            <w:r w:rsidR="00376F1E">
                              <w:rPr>
                                <w:b/>
                                <w:sz w:val="20"/>
                                <w:szCs w:val="20"/>
                              </w:rPr>
                              <w:t xml:space="preserve"> other emerging </w:t>
                            </w:r>
                            <w:r>
                              <w:rPr>
                                <w:b/>
                                <w:sz w:val="20"/>
                                <w:szCs w:val="20"/>
                              </w:rPr>
                              <w:t>schemes</w:t>
                            </w:r>
                          </w:p>
                        </w:tc>
                      </w:tr>
                      <w:tr w:rsidTr="000D0DFE">
                        <w:tblPrEx>
                          <w:tblW w:w="8500" w:type="dxa"/>
                          <w:tblLayout w:type="fixed"/>
                          <w:tblLook w:val="04A0"/>
                        </w:tblPrEx>
                        <w:tc>
                          <w:tcPr>
                            <w:tcW w:w="8500" w:type="dxa"/>
                          </w:tcPr>
                          <w:p w:rsidR="00F71DD6" w:rsidRPr="00E87974" w:rsidP="00F71DD6">
                            <w:pPr>
                              <w:jc w:val="both"/>
                              <w:rPr>
                                <w:sz w:val="16"/>
                                <w:szCs w:val="16"/>
                              </w:rPr>
                            </w:pPr>
                            <w:r>
                              <w:rPr>
                                <w:sz w:val="16"/>
                                <w:szCs w:val="16"/>
                              </w:rPr>
                              <w:t xml:space="preserve">Pickering's Farm Link Road </w:t>
                            </w:r>
                          </w:p>
                        </w:tc>
                      </w:tr>
                      <w:tr w:rsidTr="000D0DFE">
                        <w:tblPrEx>
                          <w:tblW w:w="8500" w:type="dxa"/>
                          <w:tblLayout w:type="fixed"/>
                          <w:tblLook w:val="04A0"/>
                        </w:tblPrEx>
                        <w:tc>
                          <w:tcPr>
                            <w:tcW w:w="8500" w:type="dxa"/>
                          </w:tcPr>
                          <w:p w:rsidR="00F71DD6" w:rsidRPr="00E87974" w:rsidP="00F71DD6">
                            <w:pPr>
                              <w:jc w:val="both"/>
                              <w:rPr>
                                <w:sz w:val="16"/>
                                <w:szCs w:val="16"/>
                              </w:rPr>
                            </w:pPr>
                            <w:r>
                              <w:rPr>
                                <w:sz w:val="16"/>
                                <w:szCs w:val="16"/>
                              </w:rPr>
                              <w:t>Moss Side Test Track Road infrastructure</w:t>
                            </w:r>
                          </w:p>
                        </w:tc>
                      </w:tr>
                    </w:tbl>
                    <w:p w:rsidR="00F71DD6" w:rsidP="000F648E">
                      <w:pPr>
                        <w:spacing w:after="0" w:line="240" w:lineRule="auto"/>
                        <w:jc w:val="both"/>
                        <w:rPr>
                          <w:color w:val="2E74B5" w:themeColor="accent1" w:themeShade="BF"/>
                          <w:sz w:val="18"/>
                          <w:szCs w:val="18"/>
                        </w:rPr>
                      </w:pPr>
                    </w:p>
                    <w:p w:rsidR="00C525DB" w:rsidP="000F648E">
                      <w:pPr>
                        <w:spacing w:after="0" w:line="240" w:lineRule="auto"/>
                        <w:jc w:val="both"/>
                        <w:rPr>
                          <w:color w:val="2E74B5" w:themeColor="accent1" w:themeShade="BF"/>
                          <w:sz w:val="18"/>
                          <w:szCs w:val="18"/>
                        </w:rPr>
                      </w:pPr>
                    </w:p>
                    <w:p w:rsidR="001D26E0" w:rsidRPr="00806603" w:rsidP="000F648E">
                      <w:pPr>
                        <w:spacing w:after="0" w:line="240" w:lineRule="auto"/>
                        <w:jc w:val="both"/>
                        <w:rPr>
                          <w:b/>
                          <w:color w:val="0099CC"/>
                          <w:sz w:val="18"/>
                          <w:szCs w:val="18"/>
                        </w:rPr>
                      </w:pPr>
                    </w:p>
                    <w:p w:rsidR="001D26E0" w:rsidRPr="00806603" w:rsidP="00FB12D8">
                      <w:pPr>
                        <w:spacing w:after="0" w:line="240" w:lineRule="auto"/>
                        <w:rPr>
                          <w:rFonts w:ascii="Arial" w:hAnsi="Arial" w:cs="Arial"/>
                          <w:b/>
                          <w:color w:val="70AD47" w:themeColor="accent6"/>
                          <w:sz w:val="18"/>
                          <w:szCs w:val="18"/>
                        </w:rPr>
                      </w:pPr>
                    </w:p>
                    <w:p w:rsidR="001D26E0" w:rsidRPr="005914C7" w:rsidP="005914C7">
                      <w:pPr>
                        <w:pStyle w:val="ListParagraph"/>
                        <w:spacing w:after="0" w:line="240" w:lineRule="auto"/>
                        <w:rPr>
                          <w:sz w:val="20"/>
                          <w:szCs w:val="20"/>
                        </w:rPr>
                      </w:pPr>
                    </w:p>
                    <w:p w:rsidR="001D26E0" w:rsidP="000F648E"/>
                    <w:p w:rsidR="001D26E0" w:rsidRPr="00151796" w:rsidP="000F648E"/>
                  </w:txbxContent>
                </v:textbox>
              </v:roundrect>
            </w:pict>
          </mc:Fallback>
        </mc:AlternateContent>
      </w:r>
      <w:r w:rsidR="005D2799">
        <w:rPr>
          <w:noProof/>
          <w:lang w:eastAsia="en-GB"/>
        </w:rPr>
        <mc:AlternateContent>
          <mc:Choice Requires="wps">
            <w:drawing>
              <wp:anchor distT="0" distB="0" distL="114300" distR="114300" simplePos="0" relativeHeight="251660288" behindDoc="0" locked="0" layoutInCell="1" allowOverlap="1">
                <wp:simplePos x="0" y="0"/>
                <wp:positionH relativeFrom="column">
                  <wp:posOffset>9926432</wp:posOffset>
                </wp:positionH>
                <wp:positionV relativeFrom="paragraph">
                  <wp:posOffset>971102</wp:posOffset>
                </wp:positionV>
                <wp:extent cx="4178935" cy="8810513"/>
                <wp:effectExtent l="0" t="0" r="12065" b="10160"/>
                <wp:wrapNone/>
                <wp:docPr id="3" name="Rounded Rectangle 3"/>
                <wp:cNvGraphicFramePr/>
                <a:graphic xmlns:a="http://schemas.openxmlformats.org/drawingml/2006/main">
                  <a:graphicData uri="http://schemas.microsoft.com/office/word/2010/wordprocessingShape">
                    <wps:wsp xmlns:wps="http://schemas.microsoft.com/office/word/2010/wordprocessingShape">
                      <wps:cNvSpPr/>
                      <wps:spPr>
                        <a:xfrm>
                          <a:off x="0" y="0"/>
                          <a:ext cx="4178935" cy="8810513"/>
                        </a:xfrm>
                        <a:prstGeom prst="roundRect">
                          <a:avLst>
                            <a:gd name="adj" fmla="val 904"/>
                          </a:avLst>
                        </a:prstGeom>
                        <a:solidFill>
                          <a:sysClr val="window" lastClr="FFFFFF"/>
                        </a:solidFill>
                        <a:ln w="12700">
                          <a:solidFill>
                            <a:srgbClr val="5B9BD5"/>
                          </a:solidFill>
                          <a:miter lim="800000"/>
                        </a:ln>
                        <a:effectLst/>
                      </wps:spPr>
                      <wps:txbx>
                        <w:txbxContent>
                          <w:p w:rsidR="00CC4DD7" w:rsidRPr="00E347D2" w:rsidP="00CC4DD7">
                            <w:pPr>
                              <w:rPr>
                                <w:sz w:val="18"/>
                                <w:szCs w:val="18"/>
                              </w:rPr>
                            </w:pPr>
                            <w:r w:rsidRPr="00F11542">
                              <w:rPr>
                                <w:b/>
                                <w:color w:val="70AD47" w:themeColor="accent6"/>
                              </w:rPr>
                              <w:t>Broughton/Fulwood (corridor north of M55)</w:t>
                            </w:r>
                            <w:r w:rsidRPr="00F11542">
                              <w:rPr>
                                <w:b/>
                                <w:color w:val="70AD47" w:themeColor="accent6"/>
                                <w:sz w:val="18"/>
                                <w:szCs w:val="18"/>
                              </w:rPr>
                              <w:t xml:space="preserve"> </w:t>
                            </w:r>
                            <w:r w:rsidR="005B2EB2">
                              <w:rPr>
                                <w:b/>
                                <w:color w:val="2E74B5" w:themeColor="accent1" w:themeShade="BF"/>
                                <w:sz w:val="18"/>
                                <w:szCs w:val="18"/>
                              </w:rPr>
                              <w:t>–</w:t>
                            </w:r>
                            <w:r w:rsidRPr="00E26E9F">
                              <w:rPr>
                                <w:b/>
                                <w:color w:val="2E74B5" w:themeColor="accent1" w:themeShade="BF"/>
                                <w:sz w:val="18"/>
                                <w:szCs w:val="18"/>
                              </w:rPr>
                              <w:t xml:space="preserve"> </w:t>
                            </w:r>
                            <w:r w:rsidRPr="00E347D2" w:rsidR="005B2EB2">
                              <w:rPr>
                                <w:sz w:val="18"/>
                                <w:szCs w:val="18"/>
                              </w:rPr>
                              <w:t xml:space="preserve">Start on site took place in </w:t>
                            </w:r>
                            <w:r w:rsidR="00815B4E">
                              <w:rPr>
                                <w:sz w:val="18"/>
                                <w:szCs w:val="18"/>
                              </w:rPr>
                              <w:t xml:space="preserve">July </w:t>
                            </w:r>
                            <w:r w:rsidRPr="00E347D2" w:rsidR="005B2EB2">
                              <w:rPr>
                                <w:sz w:val="18"/>
                                <w:szCs w:val="18"/>
                              </w:rPr>
                              <w:t xml:space="preserve">with works near </w:t>
                            </w:r>
                            <w:r w:rsidR="00815B4E">
                              <w:rPr>
                                <w:sz w:val="18"/>
                                <w:szCs w:val="18"/>
                              </w:rPr>
                              <w:t xml:space="preserve">the </w:t>
                            </w:r>
                            <w:r w:rsidRPr="00E347D2" w:rsidR="005B2EB2">
                              <w:rPr>
                                <w:sz w:val="18"/>
                                <w:szCs w:val="18"/>
                              </w:rPr>
                              <w:t xml:space="preserve">primary school successfully completed.  A new parallel (pedestrian and cycle) crossing was installed next to Church Lane, the first such crossing in Lancashire and this received positive media coverage (LEP &amp; Blog Preston).  More information has been published on the city deal website with the latest scheme proposals.   The contractor has co-operated well with the Parish Council regarding  facilitating </w:t>
                            </w:r>
                            <w:r w:rsidR="002774DF">
                              <w:rPr>
                                <w:sz w:val="18"/>
                                <w:szCs w:val="18"/>
                              </w:rPr>
                              <w:t xml:space="preserve"> an </w:t>
                            </w:r>
                            <w:r w:rsidRPr="00E347D2" w:rsidR="005B2EB2">
                              <w:rPr>
                                <w:sz w:val="18"/>
                                <w:szCs w:val="18"/>
                              </w:rPr>
                              <w:t xml:space="preserve">event to commemorate the centenary of James Towers' this has included installing a permanent lectern with display board at </w:t>
                            </w:r>
                            <w:r w:rsidR="002774DF">
                              <w:rPr>
                                <w:sz w:val="18"/>
                                <w:szCs w:val="18"/>
                              </w:rPr>
                              <w:t xml:space="preserve">the </w:t>
                            </w:r>
                            <w:r w:rsidRPr="00E347D2" w:rsidR="005B2EB2">
                              <w:rPr>
                                <w:sz w:val="18"/>
                                <w:szCs w:val="18"/>
                              </w:rPr>
                              <w:t xml:space="preserve">war memorial and changing </w:t>
                            </w:r>
                            <w:r w:rsidR="002774DF">
                              <w:rPr>
                                <w:sz w:val="18"/>
                                <w:szCs w:val="18"/>
                              </w:rPr>
                              <w:t xml:space="preserve">the </w:t>
                            </w:r>
                            <w:r w:rsidRPr="00E347D2" w:rsidR="005B2EB2">
                              <w:rPr>
                                <w:sz w:val="18"/>
                                <w:szCs w:val="18"/>
                              </w:rPr>
                              <w:t>site traffic management layout to suit the event. Cabinet approval was also obtained for additional traffic calming measures on Whittingham Lane.</w:t>
                            </w:r>
                            <w:r w:rsidRPr="00E347D2">
                              <w:rPr>
                                <w:sz w:val="18"/>
                                <w:szCs w:val="18"/>
                              </w:rPr>
                              <w:t xml:space="preserve"> </w:t>
                            </w:r>
                          </w:p>
                          <w:p w:rsidR="00921EC7" w:rsidP="00E2141C">
                            <w:pPr>
                              <w:rPr>
                                <w:rFonts w:cs="Arial"/>
                                <w:sz w:val="18"/>
                                <w:szCs w:val="18"/>
                              </w:rPr>
                            </w:pPr>
                            <w:r w:rsidRPr="00F11542">
                              <w:rPr>
                                <w:rFonts w:cs="Arial"/>
                                <w:b/>
                                <w:color w:val="70AD47" w:themeColor="accent6"/>
                              </w:rPr>
                              <w:t xml:space="preserve">Penwortham Bypass </w:t>
                            </w:r>
                            <w:r w:rsidRPr="00541F50">
                              <w:rPr>
                                <w:rFonts w:cs="Arial"/>
                                <w:b/>
                                <w:color w:val="2E74B5" w:themeColor="accent1" w:themeShade="BF"/>
                              </w:rPr>
                              <w:t>–</w:t>
                            </w:r>
                            <w:r>
                              <w:rPr>
                                <w:rFonts w:cs="Arial"/>
                                <w:b/>
                                <w:color w:val="2E74B5" w:themeColor="accent1" w:themeShade="BF"/>
                                <w:sz w:val="18"/>
                                <w:szCs w:val="18"/>
                              </w:rPr>
                              <w:t xml:space="preserve">  </w:t>
                            </w:r>
                            <w:r w:rsidR="001A0CBB">
                              <w:rPr>
                                <w:rFonts w:cs="Arial"/>
                                <w:b/>
                                <w:color w:val="2E74B5" w:themeColor="accent1" w:themeShade="BF"/>
                                <w:sz w:val="18"/>
                                <w:szCs w:val="18"/>
                              </w:rPr>
                              <w:t xml:space="preserve"> </w:t>
                            </w:r>
                            <w:r w:rsidRPr="007C04E5">
                              <w:rPr>
                                <w:rFonts w:cs="Arial"/>
                                <w:sz w:val="18"/>
                                <w:szCs w:val="18"/>
                              </w:rPr>
                              <w:t>Good progress has been made with this scheme.  The new playing fields have been seeded</w:t>
                            </w:r>
                            <w:r w:rsidR="00377C4A">
                              <w:rPr>
                                <w:rFonts w:cs="Arial"/>
                                <w:sz w:val="18"/>
                                <w:szCs w:val="18"/>
                              </w:rPr>
                              <w:t xml:space="preserve"> and are growing satisfactorily</w:t>
                            </w:r>
                            <w:r w:rsidRPr="007C04E5">
                              <w:rPr>
                                <w:rFonts w:cs="Arial"/>
                                <w:sz w:val="18"/>
                                <w:szCs w:val="18"/>
                              </w:rPr>
                              <w:t xml:space="preserve">.  The Brown Hare roundabout is </w:t>
                            </w:r>
                            <w:r w:rsidR="0027199A">
                              <w:rPr>
                                <w:rFonts w:cs="Arial"/>
                                <w:sz w:val="18"/>
                                <w:szCs w:val="18"/>
                              </w:rPr>
                              <w:t xml:space="preserve">almost </w:t>
                            </w:r>
                            <w:r w:rsidRPr="007C04E5" w:rsidR="0027199A">
                              <w:rPr>
                                <w:rFonts w:cs="Arial"/>
                                <w:sz w:val="18"/>
                                <w:szCs w:val="18"/>
                              </w:rPr>
                              <w:t>finished</w:t>
                            </w:r>
                            <w:r w:rsidRPr="007C04E5">
                              <w:rPr>
                                <w:rFonts w:cs="Arial"/>
                                <w:sz w:val="18"/>
                                <w:szCs w:val="18"/>
                              </w:rPr>
                              <w:t xml:space="preserve">.  Traffic signals have been installed </w:t>
                            </w:r>
                            <w:r w:rsidR="00377C4A">
                              <w:rPr>
                                <w:rFonts w:cs="Arial"/>
                                <w:sz w:val="18"/>
                                <w:szCs w:val="18"/>
                              </w:rPr>
                              <w:t>and activated</w:t>
                            </w:r>
                            <w:r w:rsidRPr="007C04E5">
                              <w:rPr>
                                <w:rFonts w:cs="Arial"/>
                                <w:sz w:val="18"/>
                                <w:szCs w:val="18"/>
                              </w:rPr>
                              <w:t>.</w:t>
                            </w:r>
                            <w:r>
                              <w:rPr>
                                <w:rFonts w:cs="Arial"/>
                                <w:sz w:val="18"/>
                                <w:szCs w:val="18"/>
                              </w:rPr>
                              <w:t xml:space="preserve"> The works to support the planning application submission is on track with future milestones expected to be met. </w:t>
                            </w:r>
                          </w:p>
                          <w:p w:rsidR="00377C4A" w:rsidRPr="00377C4A" w:rsidP="00377C4A">
                            <w:pPr>
                              <w:spacing w:after="0" w:line="240" w:lineRule="auto"/>
                              <w:rPr>
                                <w:color w:val="70AD47" w:themeColor="accent6"/>
                              </w:rPr>
                            </w:pPr>
                            <w:r w:rsidRPr="00377C4A">
                              <w:rPr>
                                <w:b/>
                                <w:color w:val="70AD47" w:themeColor="accent6"/>
                              </w:rPr>
                              <w:t xml:space="preserve">Hutton/Higher Penwortham/City Centre corridor –   </w:t>
                            </w:r>
                          </w:p>
                          <w:p w:rsidR="00377C4A" w:rsidP="00377C4A">
                            <w:pPr>
                              <w:spacing w:after="0" w:line="240" w:lineRule="auto"/>
                              <w:rPr>
                                <w:sz w:val="18"/>
                                <w:szCs w:val="18"/>
                              </w:rPr>
                            </w:pPr>
                            <w:r>
                              <w:rPr>
                                <w:sz w:val="18"/>
                                <w:szCs w:val="18"/>
                              </w:rPr>
                              <w:t xml:space="preserve">Good progress has been made on this in quarter 2.  </w:t>
                            </w:r>
                            <w:r w:rsidRPr="00167372">
                              <w:rPr>
                                <w:sz w:val="18"/>
                                <w:szCs w:val="18"/>
                              </w:rPr>
                              <w:t xml:space="preserve">Two </w:t>
                            </w:r>
                            <w:r w:rsidR="002774DF">
                              <w:rPr>
                                <w:sz w:val="18"/>
                                <w:szCs w:val="18"/>
                              </w:rPr>
                              <w:t>P</w:t>
                            </w:r>
                            <w:r w:rsidRPr="00167372">
                              <w:rPr>
                                <w:sz w:val="18"/>
                                <w:szCs w:val="18"/>
                              </w:rPr>
                              <w:t xml:space="preserve">ubic engagement drop in events </w:t>
                            </w:r>
                            <w:r>
                              <w:rPr>
                                <w:sz w:val="18"/>
                                <w:szCs w:val="18"/>
                              </w:rPr>
                              <w:t xml:space="preserve">were held in order </w:t>
                            </w:r>
                            <w:r w:rsidRPr="00167372">
                              <w:rPr>
                                <w:sz w:val="18"/>
                                <w:szCs w:val="18"/>
                              </w:rPr>
                              <w:t xml:space="preserve">to learn about issues in the area and listen </w:t>
                            </w:r>
                            <w:r>
                              <w:rPr>
                                <w:sz w:val="18"/>
                                <w:szCs w:val="18"/>
                              </w:rPr>
                              <w:t>to suggestions for improvements.  The '</w:t>
                            </w:r>
                            <w:r w:rsidRPr="00167372">
                              <w:rPr>
                                <w:sz w:val="18"/>
                                <w:szCs w:val="18"/>
                              </w:rPr>
                              <w:t>Have Your Say</w:t>
                            </w:r>
                            <w:r>
                              <w:rPr>
                                <w:sz w:val="18"/>
                                <w:szCs w:val="18"/>
                              </w:rPr>
                              <w:t xml:space="preserve">' online consultation closes on </w:t>
                            </w:r>
                            <w:r w:rsidRPr="00167372">
                              <w:rPr>
                                <w:sz w:val="18"/>
                                <w:szCs w:val="18"/>
                              </w:rPr>
                              <w:t>October 10</w:t>
                            </w:r>
                            <w:r w:rsidRPr="00167372">
                              <w:rPr>
                                <w:sz w:val="18"/>
                                <w:szCs w:val="18"/>
                                <w:vertAlign w:val="superscript"/>
                              </w:rPr>
                              <w:t>th</w:t>
                            </w:r>
                            <w:r>
                              <w:rPr>
                                <w:sz w:val="18"/>
                                <w:szCs w:val="18"/>
                              </w:rPr>
                              <w:t xml:space="preserve">.  The publication of the responses to the consultation is planned in the spring along with further </w:t>
                            </w:r>
                            <w:r w:rsidRPr="00167372">
                              <w:rPr>
                                <w:sz w:val="18"/>
                                <w:szCs w:val="18"/>
                              </w:rPr>
                              <w:t xml:space="preserve">drop-in events and </w:t>
                            </w:r>
                            <w:r>
                              <w:rPr>
                                <w:sz w:val="18"/>
                                <w:szCs w:val="18"/>
                              </w:rPr>
                              <w:t xml:space="preserve">external consultations </w:t>
                            </w:r>
                            <w:r w:rsidRPr="00167372">
                              <w:rPr>
                                <w:sz w:val="18"/>
                                <w:szCs w:val="18"/>
                              </w:rPr>
                              <w:t xml:space="preserve">once </w:t>
                            </w:r>
                            <w:r>
                              <w:rPr>
                                <w:sz w:val="18"/>
                                <w:szCs w:val="18"/>
                              </w:rPr>
                              <w:t xml:space="preserve">the </w:t>
                            </w:r>
                            <w:r w:rsidRPr="00167372">
                              <w:rPr>
                                <w:sz w:val="18"/>
                                <w:szCs w:val="18"/>
                              </w:rPr>
                              <w:t>local centre concept design has been produced</w:t>
                            </w:r>
                            <w:r>
                              <w:rPr>
                                <w:sz w:val="18"/>
                                <w:szCs w:val="18"/>
                              </w:rPr>
                              <w:t>.</w:t>
                            </w:r>
                            <w:r w:rsidRPr="00167372">
                              <w:rPr>
                                <w:sz w:val="18"/>
                                <w:szCs w:val="18"/>
                              </w:rPr>
                              <w:t xml:space="preserve">  </w:t>
                            </w:r>
                          </w:p>
                          <w:p w:rsidR="00377C4A" w:rsidP="00377C4A">
                            <w:pPr>
                              <w:spacing w:after="0" w:line="240" w:lineRule="auto"/>
                              <w:rPr>
                                <w:b/>
                                <w:color w:val="70AD47" w:themeColor="accent6"/>
                              </w:rPr>
                            </w:pPr>
                          </w:p>
                          <w:p w:rsidR="000979DB" w:rsidRPr="000979DB" w:rsidP="008E5FEE">
                            <w:pPr>
                              <w:rPr>
                                <w:sz w:val="18"/>
                                <w:szCs w:val="18"/>
                              </w:rPr>
                            </w:pPr>
                            <w:r w:rsidRPr="00F11542">
                              <w:rPr>
                                <w:b/>
                                <w:color w:val="70AD47" w:themeColor="accent6"/>
                              </w:rPr>
                              <w:t>Grimsargh Green</w:t>
                            </w:r>
                            <w:r w:rsidRPr="00F11542">
                              <w:rPr>
                                <w:color w:val="70AD47" w:themeColor="accent6"/>
                              </w:rPr>
                              <w:t xml:space="preserve"> </w:t>
                            </w:r>
                            <w:r w:rsidRPr="00541F50">
                              <w:t>–</w:t>
                            </w:r>
                            <w:r w:rsidRPr="000979DB" w:rsidR="00B66CD0">
                              <w:rPr>
                                <w:sz w:val="18"/>
                                <w:szCs w:val="18"/>
                              </w:rPr>
                              <w:t xml:space="preserve">This scheme has progressed well.  </w:t>
                            </w:r>
                            <w:r w:rsidRPr="000979DB" w:rsidR="00AE7DB3">
                              <w:rPr>
                                <w:sz w:val="18"/>
                                <w:szCs w:val="18"/>
                              </w:rPr>
                              <w:t xml:space="preserve">The Parish council has agreed to take on any future maintenance responsibilities allowing the scheme to progress to design approved by IDSG which occurred in September.   </w:t>
                            </w:r>
                            <w:r w:rsidRPr="000979DB">
                              <w:rPr>
                                <w:sz w:val="18"/>
                                <w:szCs w:val="18"/>
                              </w:rPr>
                              <w:t xml:space="preserve">The contract has been awarded ahead of schedule.  The duration of the works are minimal but weather dependant, this will affect start on site – currently programmed for Q4. </w:t>
                            </w:r>
                            <w:r w:rsidR="00855176">
                              <w:rPr>
                                <w:sz w:val="18"/>
                                <w:szCs w:val="18"/>
                              </w:rPr>
                              <w:t xml:space="preserve"> </w:t>
                            </w:r>
                          </w:p>
                          <w:p w:rsidR="00EA24EB" w:rsidP="00EA24EB">
                            <w:pPr>
                              <w:rPr>
                                <w:sz w:val="18"/>
                                <w:szCs w:val="18"/>
                              </w:rPr>
                            </w:pPr>
                            <w:r w:rsidRPr="00F11542">
                              <w:rPr>
                                <w:b/>
                                <w:color w:val="70AD47" w:themeColor="accent6"/>
                              </w:rPr>
                              <w:t>Cottam Parkway</w:t>
                            </w:r>
                            <w:r w:rsidRPr="00F11542">
                              <w:rPr>
                                <w:b/>
                                <w:color w:val="70AD47" w:themeColor="accent6"/>
                                <w:sz w:val="18"/>
                                <w:szCs w:val="18"/>
                              </w:rPr>
                              <w:t xml:space="preserve"> </w:t>
                            </w:r>
                            <w:r w:rsidRPr="00E26E9F">
                              <w:rPr>
                                <w:sz w:val="18"/>
                                <w:szCs w:val="18"/>
                              </w:rPr>
                              <w:t>The production of the Grip 3 business case is still underway</w:t>
                            </w:r>
                            <w:r>
                              <w:rPr>
                                <w:sz w:val="18"/>
                                <w:szCs w:val="18"/>
                              </w:rPr>
                              <w:t xml:space="preserve"> with the options report anticipated in</w:t>
                            </w:r>
                            <w:r w:rsidRPr="00E26E9F">
                              <w:rPr>
                                <w:sz w:val="18"/>
                                <w:szCs w:val="18"/>
                              </w:rPr>
                              <w:t xml:space="preserve"> November </w:t>
                            </w:r>
                            <w:r w:rsidRPr="00E26E9F" w:rsidR="004D277C">
                              <w:rPr>
                                <w:sz w:val="18"/>
                                <w:szCs w:val="18"/>
                              </w:rPr>
                              <w:t>2018,</w:t>
                            </w:r>
                            <w:r w:rsidR="00377C4A">
                              <w:rPr>
                                <w:sz w:val="18"/>
                                <w:szCs w:val="18"/>
                              </w:rPr>
                              <w:t xml:space="preserve"> the business case will be completed by </w:t>
                            </w:r>
                            <w:r w:rsidRPr="00E26E9F">
                              <w:rPr>
                                <w:sz w:val="18"/>
                                <w:szCs w:val="18"/>
                              </w:rPr>
                              <w:t xml:space="preserve">December 2018.  </w:t>
                            </w:r>
                          </w:p>
                          <w:p w:rsidR="00E347D2" w:rsidRPr="00F634C8" w:rsidP="00E347D2">
                            <w:pPr>
                              <w:rPr>
                                <w:rFonts w:cs="Arial"/>
                                <w:sz w:val="18"/>
                                <w:szCs w:val="18"/>
                              </w:rPr>
                            </w:pPr>
                            <w:r w:rsidRPr="00F11542">
                              <w:rPr>
                                <w:b/>
                                <w:color w:val="70AD47" w:themeColor="accent6"/>
                              </w:rPr>
                              <w:t xml:space="preserve">Expanded Cities cultural development programme </w:t>
                            </w:r>
                            <w:r w:rsidR="00B2682A">
                              <w:rPr>
                                <w:b/>
                                <w:color w:val="5B9BD5" w:themeColor="accent1"/>
                              </w:rPr>
                              <w:t>–</w:t>
                            </w:r>
                            <w:r w:rsidR="00F11542">
                              <w:rPr>
                                <w:rFonts w:cs="Arial"/>
                                <w:sz w:val="18"/>
                                <w:szCs w:val="18"/>
                              </w:rPr>
                              <w:t>on programme</w:t>
                            </w:r>
                          </w:p>
                          <w:p w:rsidR="003863BC" w:rsidRPr="00645EAF" w:rsidP="003863BC">
                            <w:pPr>
                              <w:rPr>
                                <w:sz w:val="20"/>
                                <w:szCs w:val="20"/>
                              </w:rPr>
                            </w:pPr>
                            <w:r w:rsidRPr="00F11542">
                              <w:rPr>
                                <w:b/>
                                <w:color w:val="70AD47" w:themeColor="accent6"/>
                              </w:rPr>
                              <w:t xml:space="preserve">East Cliff Cycle Link and Bridge </w:t>
                            </w:r>
                            <w:r w:rsidRPr="0027397B">
                              <w:rPr>
                                <w:b/>
                                <w:color w:val="5B9BD5" w:themeColor="accent1"/>
                              </w:rPr>
                              <w:t xml:space="preserve">– </w:t>
                            </w:r>
                            <w:r>
                              <w:rPr>
                                <w:sz w:val="18"/>
                                <w:szCs w:val="18"/>
                              </w:rPr>
                              <w:t xml:space="preserve">Progress has been made with this scheme in that a Pid was approved by IDSG in September and additional funding secured through a s106 agreement to fund the cycle link.  This is subject to clarification around the future funding of maintenance on the route.  Officers are working to develop milestones aligned to the wider East Cliff project.  </w:t>
                            </w:r>
                            <w:r w:rsidRPr="00AE7DB3">
                              <w:rPr>
                                <w:sz w:val="18"/>
                                <w:szCs w:val="18"/>
                              </w:rPr>
                              <w:t xml:space="preserve"> </w:t>
                            </w:r>
                            <w:r w:rsidRPr="00AE7DB3">
                              <w:rPr>
                                <w:b/>
                              </w:rPr>
                              <w:t xml:space="preserve">  </w:t>
                            </w:r>
                          </w:p>
                          <w:p w:rsidR="0008095C" w:rsidRPr="00F634C8" w:rsidP="0027397B">
                            <w:pPr>
                              <w:rPr>
                                <w:sz w:val="18"/>
                                <w:szCs w:val="18"/>
                              </w:rPr>
                            </w:pPr>
                            <w:r w:rsidRPr="00F11542">
                              <w:rPr>
                                <w:b/>
                                <w:color w:val="FFC000" w:themeColor="accent4"/>
                              </w:rPr>
                              <w:t>Preston City Transport Plan –</w:t>
                            </w:r>
                            <w:r w:rsidRPr="00F11542">
                              <w:rPr>
                                <w:b/>
                                <w:color w:val="FFC000" w:themeColor="accent4"/>
                                <w:sz w:val="18"/>
                                <w:szCs w:val="18"/>
                              </w:rPr>
                              <w:t xml:space="preserve"> </w:t>
                            </w:r>
                            <w:r w:rsidRPr="00F634C8">
                              <w:rPr>
                                <w:sz w:val="18"/>
                                <w:szCs w:val="18"/>
                              </w:rPr>
                              <w:t xml:space="preserve">the consultant's </w:t>
                            </w:r>
                            <w:r w:rsidR="00F634C8">
                              <w:rPr>
                                <w:sz w:val="18"/>
                                <w:szCs w:val="18"/>
                              </w:rPr>
                              <w:t xml:space="preserve">element of the work will complete as planned in December.  The next stage will require officer input to consider </w:t>
                            </w:r>
                            <w:r w:rsidR="002774DF">
                              <w:rPr>
                                <w:sz w:val="18"/>
                                <w:szCs w:val="18"/>
                              </w:rPr>
                              <w:t xml:space="preserve">the </w:t>
                            </w:r>
                            <w:r w:rsidR="00F634C8">
                              <w:rPr>
                                <w:sz w:val="18"/>
                                <w:szCs w:val="18"/>
                              </w:rPr>
                              <w:t>finding</w:t>
                            </w:r>
                            <w:r w:rsidR="002774DF">
                              <w:rPr>
                                <w:sz w:val="18"/>
                                <w:szCs w:val="18"/>
                              </w:rPr>
                              <w:t>s</w:t>
                            </w:r>
                            <w:r w:rsidR="00F634C8">
                              <w:rPr>
                                <w:sz w:val="18"/>
                                <w:szCs w:val="18"/>
                              </w:rPr>
                              <w:t xml:space="preserve"> and prepare a delivery plan – competing priorities and lack of resources is likely to impact on this</w:t>
                            </w:r>
                            <w:r w:rsidR="002774DF">
                              <w:rPr>
                                <w:sz w:val="18"/>
                                <w:szCs w:val="18"/>
                              </w:rPr>
                              <w:t xml:space="preserve"> timescales so the</w:t>
                            </w:r>
                            <w:r w:rsidR="00F634C8">
                              <w:rPr>
                                <w:sz w:val="18"/>
                                <w:szCs w:val="18"/>
                              </w:rPr>
                              <w:t xml:space="preserve"> scheme has been rated amber.</w:t>
                            </w:r>
                          </w:p>
                          <w:p w:rsidR="0027397B" w:rsidRPr="00F634C8" w:rsidP="0027397B">
                            <w:pPr>
                              <w:rPr>
                                <w:sz w:val="18"/>
                                <w:szCs w:val="18"/>
                              </w:rPr>
                            </w:pPr>
                            <w:r w:rsidRPr="00F11542">
                              <w:rPr>
                                <w:b/>
                                <w:color w:val="FFC000" w:themeColor="accent4"/>
                              </w:rPr>
                              <w:t>C</w:t>
                            </w:r>
                            <w:r w:rsidRPr="00F11542">
                              <w:rPr>
                                <w:b/>
                                <w:color w:val="FFC000" w:themeColor="accent4"/>
                              </w:rPr>
                              <w:t>ycling and Walking Delivery plan and Corridors Master Planning</w:t>
                            </w:r>
                            <w:r w:rsidRPr="00F11542">
                              <w:rPr>
                                <w:color w:val="FFC000" w:themeColor="accent4"/>
                                <w:sz w:val="18"/>
                                <w:szCs w:val="18"/>
                              </w:rPr>
                              <w:t xml:space="preserve"> </w:t>
                            </w:r>
                            <w:r w:rsidRPr="00F11542">
                              <w:rPr>
                                <w:b/>
                                <w:color w:val="FFC000" w:themeColor="accent4"/>
                                <w:sz w:val="18"/>
                                <w:szCs w:val="18"/>
                              </w:rPr>
                              <w:t>–</w:t>
                            </w:r>
                            <w:r w:rsidRPr="00F11542" w:rsidR="00F634C8">
                              <w:rPr>
                                <w:b/>
                                <w:color w:val="FFC000" w:themeColor="accent4"/>
                                <w:sz w:val="18"/>
                                <w:szCs w:val="18"/>
                              </w:rPr>
                              <w:t xml:space="preserve"> </w:t>
                            </w:r>
                            <w:r w:rsidRPr="00F634C8" w:rsidR="00F634C8">
                              <w:rPr>
                                <w:sz w:val="18"/>
                                <w:szCs w:val="18"/>
                              </w:rPr>
                              <w:t>The consultants work has now completed but as with the City Transport Plan significant resource is required to prioritise and formulate a delivery plan, limited resources place this scheme as amber.</w:t>
                            </w:r>
                          </w:p>
                          <w:p w:rsidR="003863BC"/>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3" o:spid="_x0000_s1030" style="width:329.05pt;height:693.75pt;margin-top:76.45pt;margin-left:781.6pt;mso-height-percent:0;mso-height-relative:margin;mso-width-percent:0;mso-width-relative:margin;mso-wrap-distance-bottom:0;mso-wrap-distance-left:9pt;mso-wrap-distance-right:9pt;mso-wrap-distance-top:0;mso-wrap-style:square;position:absolute;visibility:visible;v-text-anchor:top;z-index:251661312" arcsize="592f" fillcolor="window" strokecolor="#5b9bd5" strokeweight="1pt">
                <v:stroke joinstyle="miter"/>
                <v:textbox>
                  <w:txbxContent>
                    <w:p w:rsidR="00CC4DD7" w:rsidRPr="00E347D2" w:rsidP="00CC4DD7">
                      <w:pPr>
                        <w:rPr>
                          <w:sz w:val="18"/>
                          <w:szCs w:val="18"/>
                        </w:rPr>
                      </w:pPr>
                      <w:r w:rsidRPr="00F11542">
                        <w:rPr>
                          <w:b/>
                          <w:color w:val="70AD47" w:themeColor="accent6"/>
                        </w:rPr>
                        <w:t>Broughton/Fulwood (corridor north of M55)</w:t>
                      </w:r>
                      <w:r w:rsidRPr="00F11542">
                        <w:rPr>
                          <w:b/>
                          <w:color w:val="70AD47" w:themeColor="accent6"/>
                          <w:sz w:val="18"/>
                          <w:szCs w:val="18"/>
                        </w:rPr>
                        <w:t xml:space="preserve"> </w:t>
                      </w:r>
                      <w:r w:rsidR="005B2EB2">
                        <w:rPr>
                          <w:b/>
                          <w:color w:val="2E74B5" w:themeColor="accent1" w:themeShade="BF"/>
                          <w:sz w:val="18"/>
                          <w:szCs w:val="18"/>
                        </w:rPr>
                        <w:t>–</w:t>
                      </w:r>
                      <w:r w:rsidRPr="00E26E9F">
                        <w:rPr>
                          <w:b/>
                          <w:color w:val="2E74B5" w:themeColor="accent1" w:themeShade="BF"/>
                          <w:sz w:val="18"/>
                          <w:szCs w:val="18"/>
                        </w:rPr>
                        <w:t xml:space="preserve"> </w:t>
                      </w:r>
                      <w:r w:rsidRPr="00E347D2" w:rsidR="005B2EB2">
                        <w:rPr>
                          <w:sz w:val="18"/>
                          <w:szCs w:val="18"/>
                        </w:rPr>
                        <w:t xml:space="preserve">Start on site took place in </w:t>
                      </w:r>
                      <w:r w:rsidR="00815B4E">
                        <w:rPr>
                          <w:sz w:val="18"/>
                          <w:szCs w:val="18"/>
                        </w:rPr>
                        <w:t xml:space="preserve">July </w:t>
                      </w:r>
                      <w:r w:rsidRPr="00E347D2" w:rsidR="005B2EB2">
                        <w:rPr>
                          <w:sz w:val="18"/>
                          <w:szCs w:val="18"/>
                        </w:rPr>
                        <w:t xml:space="preserve">with works near </w:t>
                      </w:r>
                      <w:r w:rsidR="00815B4E">
                        <w:rPr>
                          <w:sz w:val="18"/>
                          <w:szCs w:val="18"/>
                        </w:rPr>
                        <w:t xml:space="preserve">the </w:t>
                      </w:r>
                      <w:r w:rsidRPr="00E347D2" w:rsidR="005B2EB2">
                        <w:rPr>
                          <w:sz w:val="18"/>
                          <w:szCs w:val="18"/>
                        </w:rPr>
                        <w:t xml:space="preserve">primary school successfully completed.  A new parallel (pedestrian and cycle) crossing was installed next to Church Lane, the first such crossing in Lancashire and this received positive media coverage (LEP &amp; Blog Preston).  More information has been published on the city deal website with the latest scheme proposals.   The contractor has co-operated well with the Parish Council regarding  facilitating </w:t>
                      </w:r>
                      <w:r w:rsidR="002774DF">
                        <w:rPr>
                          <w:sz w:val="18"/>
                          <w:szCs w:val="18"/>
                        </w:rPr>
                        <w:t xml:space="preserve"> an </w:t>
                      </w:r>
                      <w:r w:rsidRPr="00E347D2" w:rsidR="005B2EB2">
                        <w:rPr>
                          <w:sz w:val="18"/>
                          <w:szCs w:val="18"/>
                        </w:rPr>
                        <w:t xml:space="preserve">event to commemorate the centenary of James Towers' this has included installing a permanent lectern with display board at </w:t>
                      </w:r>
                      <w:r w:rsidR="002774DF">
                        <w:rPr>
                          <w:sz w:val="18"/>
                          <w:szCs w:val="18"/>
                        </w:rPr>
                        <w:t xml:space="preserve">the </w:t>
                      </w:r>
                      <w:r w:rsidRPr="00E347D2" w:rsidR="005B2EB2">
                        <w:rPr>
                          <w:sz w:val="18"/>
                          <w:szCs w:val="18"/>
                        </w:rPr>
                        <w:t xml:space="preserve">war memorial and changing </w:t>
                      </w:r>
                      <w:r w:rsidR="002774DF">
                        <w:rPr>
                          <w:sz w:val="18"/>
                          <w:szCs w:val="18"/>
                        </w:rPr>
                        <w:t xml:space="preserve">the </w:t>
                      </w:r>
                      <w:r w:rsidRPr="00E347D2" w:rsidR="005B2EB2">
                        <w:rPr>
                          <w:sz w:val="18"/>
                          <w:szCs w:val="18"/>
                        </w:rPr>
                        <w:t>site traffic management layout to suit the event. Cabinet approval was also obtained for additional traffic calming measures on Whittingham Lane.</w:t>
                      </w:r>
                      <w:r w:rsidRPr="00E347D2">
                        <w:rPr>
                          <w:sz w:val="18"/>
                          <w:szCs w:val="18"/>
                        </w:rPr>
                        <w:t xml:space="preserve"> </w:t>
                      </w:r>
                    </w:p>
                    <w:p w:rsidR="00921EC7" w:rsidP="00E2141C">
                      <w:pPr>
                        <w:rPr>
                          <w:rFonts w:cs="Arial"/>
                          <w:sz w:val="18"/>
                          <w:szCs w:val="18"/>
                        </w:rPr>
                      </w:pPr>
                      <w:r w:rsidRPr="00F11542">
                        <w:rPr>
                          <w:rFonts w:cs="Arial"/>
                          <w:b/>
                          <w:color w:val="70AD47" w:themeColor="accent6"/>
                        </w:rPr>
                        <w:t xml:space="preserve">Penwortham Bypass </w:t>
                      </w:r>
                      <w:r w:rsidRPr="00541F50">
                        <w:rPr>
                          <w:rFonts w:cs="Arial"/>
                          <w:b/>
                          <w:color w:val="2E74B5" w:themeColor="accent1" w:themeShade="BF"/>
                        </w:rPr>
                        <w:t>–</w:t>
                      </w:r>
                      <w:r>
                        <w:rPr>
                          <w:rFonts w:cs="Arial"/>
                          <w:b/>
                          <w:color w:val="2E74B5" w:themeColor="accent1" w:themeShade="BF"/>
                          <w:sz w:val="18"/>
                          <w:szCs w:val="18"/>
                        </w:rPr>
                        <w:t xml:space="preserve">  </w:t>
                      </w:r>
                      <w:r w:rsidR="001A0CBB">
                        <w:rPr>
                          <w:rFonts w:cs="Arial"/>
                          <w:b/>
                          <w:color w:val="2E74B5" w:themeColor="accent1" w:themeShade="BF"/>
                          <w:sz w:val="18"/>
                          <w:szCs w:val="18"/>
                        </w:rPr>
                        <w:t xml:space="preserve"> </w:t>
                      </w:r>
                      <w:r w:rsidRPr="007C04E5">
                        <w:rPr>
                          <w:rFonts w:cs="Arial"/>
                          <w:sz w:val="18"/>
                          <w:szCs w:val="18"/>
                        </w:rPr>
                        <w:t>Good progress has been made with this scheme.  The new playing fields have been seeded</w:t>
                      </w:r>
                      <w:r w:rsidR="00377C4A">
                        <w:rPr>
                          <w:rFonts w:cs="Arial"/>
                          <w:sz w:val="18"/>
                          <w:szCs w:val="18"/>
                        </w:rPr>
                        <w:t xml:space="preserve"> and are growing satisfactorily</w:t>
                      </w:r>
                      <w:r w:rsidRPr="007C04E5">
                        <w:rPr>
                          <w:rFonts w:cs="Arial"/>
                          <w:sz w:val="18"/>
                          <w:szCs w:val="18"/>
                        </w:rPr>
                        <w:t xml:space="preserve">.  The Brown Hare roundabout is </w:t>
                      </w:r>
                      <w:r w:rsidR="0027199A">
                        <w:rPr>
                          <w:rFonts w:cs="Arial"/>
                          <w:sz w:val="18"/>
                          <w:szCs w:val="18"/>
                        </w:rPr>
                        <w:t xml:space="preserve">almost </w:t>
                      </w:r>
                      <w:r w:rsidRPr="007C04E5" w:rsidR="0027199A">
                        <w:rPr>
                          <w:rFonts w:cs="Arial"/>
                          <w:sz w:val="18"/>
                          <w:szCs w:val="18"/>
                        </w:rPr>
                        <w:t>finished</w:t>
                      </w:r>
                      <w:r w:rsidRPr="007C04E5">
                        <w:rPr>
                          <w:rFonts w:cs="Arial"/>
                          <w:sz w:val="18"/>
                          <w:szCs w:val="18"/>
                        </w:rPr>
                        <w:t xml:space="preserve">.  Traffic signals have been installed </w:t>
                      </w:r>
                      <w:r w:rsidR="00377C4A">
                        <w:rPr>
                          <w:rFonts w:cs="Arial"/>
                          <w:sz w:val="18"/>
                          <w:szCs w:val="18"/>
                        </w:rPr>
                        <w:t>and activated</w:t>
                      </w:r>
                      <w:r w:rsidRPr="007C04E5">
                        <w:rPr>
                          <w:rFonts w:cs="Arial"/>
                          <w:sz w:val="18"/>
                          <w:szCs w:val="18"/>
                        </w:rPr>
                        <w:t>.</w:t>
                      </w:r>
                      <w:r>
                        <w:rPr>
                          <w:rFonts w:cs="Arial"/>
                          <w:sz w:val="18"/>
                          <w:szCs w:val="18"/>
                        </w:rPr>
                        <w:t xml:space="preserve"> The works to support the planning application submission is on track with future milestones expected to be met. </w:t>
                      </w:r>
                    </w:p>
                    <w:p w:rsidR="00377C4A" w:rsidRPr="00377C4A" w:rsidP="00377C4A">
                      <w:pPr>
                        <w:spacing w:after="0" w:line="240" w:lineRule="auto"/>
                        <w:rPr>
                          <w:color w:val="70AD47" w:themeColor="accent6"/>
                        </w:rPr>
                      </w:pPr>
                      <w:r w:rsidRPr="00377C4A">
                        <w:rPr>
                          <w:b/>
                          <w:color w:val="70AD47" w:themeColor="accent6"/>
                        </w:rPr>
                        <w:t xml:space="preserve">Hutton/Higher Penwortham/City Centre corridor –   </w:t>
                      </w:r>
                    </w:p>
                    <w:p w:rsidR="00377C4A" w:rsidP="00377C4A">
                      <w:pPr>
                        <w:spacing w:after="0" w:line="240" w:lineRule="auto"/>
                        <w:rPr>
                          <w:sz w:val="18"/>
                          <w:szCs w:val="18"/>
                        </w:rPr>
                      </w:pPr>
                      <w:r>
                        <w:rPr>
                          <w:sz w:val="18"/>
                          <w:szCs w:val="18"/>
                        </w:rPr>
                        <w:t xml:space="preserve">Good progress has been made on this in quarter 2.  </w:t>
                      </w:r>
                      <w:r w:rsidRPr="00167372">
                        <w:rPr>
                          <w:sz w:val="18"/>
                          <w:szCs w:val="18"/>
                        </w:rPr>
                        <w:t xml:space="preserve">Two </w:t>
                      </w:r>
                      <w:r w:rsidR="002774DF">
                        <w:rPr>
                          <w:sz w:val="18"/>
                          <w:szCs w:val="18"/>
                        </w:rPr>
                        <w:t>P</w:t>
                      </w:r>
                      <w:r w:rsidRPr="00167372">
                        <w:rPr>
                          <w:sz w:val="18"/>
                          <w:szCs w:val="18"/>
                        </w:rPr>
                        <w:t xml:space="preserve">ubic engagement drop in events </w:t>
                      </w:r>
                      <w:r>
                        <w:rPr>
                          <w:sz w:val="18"/>
                          <w:szCs w:val="18"/>
                        </w:rPr>
                        <w:t xml:space="preserve">were held in order </w:t>
                      </w:r>
                      <w:r w:rsidRPr="00167372">
                        <w:rPr>
                          <w:sz w:val="18"/>
                          <w:szCs w:val="18"/>
                        </w:rPr>
                        <w:t xml:space="preserve">to learn about issues in the area and listen </w:t>
                      </w:r>
                      <w:r>
                        <w:rPr>
                          <w:sz w:val="18"/>
                          <w:szCs w:val="18"/>
                        </w:rPr>
                        <w:t>to suggestions for improvements.  The '</w:t>
                      </w:r>
                      <w:r w:rsidRPr="00167372">
                        <w:rPr>
                          <w:sz w:val="18"/>
                          <w:szCs w:val="18"/>
                        </w:rPr>
                        <w:t>Have Your Say</w:t>
                      </w:r>
                      <w:r>
                        <w:rPr>
                          <w:sz w:val="18"/>
                          <w:szCs w:val="18"/>
                        </w:rPr>
                        <w:t xml:space="preserve">' online consultation closes on </w:t>
                      </w:r>
                      <w:r w:rsidRPr="00167372">
                        <w:rPr>
                          <w:sz w:val="18"/>
                          <w:szCs w:val="18"/>
                        </w:rPr>
                        <w:t>October 10</w:t>
                      </w:r>
                      <w:r w:rsidRPr="00167372">
                        <w:rPr>
                          <w:sz w:val="18"/>
                          <w:szCs w:val="18"/>
                          <w:vertAlign w:val="superscript"/>
                        </w:rPr>
                        <w:t>th</w:t>
                      </w:r>
                      <w:r>
                        <w:rPr>
                          <w:sz w:val="18"/>
                          <w:szCs w:val="18"/>
                        </w:rPr>
                        <w:t xml:space="preserve">.  The publication of the responses to the consultation is planned in the spring along with further </w:t>
                      </w:r>
                      <w:r w:rsidRPr="00167372">
                        <w:rPr>
                          <w:sz w:val="18"/>
                          <w:szCs w:val="18"/>
                        </w:rPr>
                        <w:t xml:space="preserve">drop-in events and </w:t>
                      </w:r>
                      <w:r>
                        <w:rPr>
                          <w:sz w:val="18"/>
                          <w:szCs w:val="18"/>
                        </w:rPr>
                        <w:t xml:space="preserve">external consultations </w:t>
                      </w:r>
                      <w:r w:rsidRPr="00167372">
                        <w:rPr>
                          <w:sz w:val="18"/>
                          <w:szCs w:val="18"/>
                        </w:rPr>
                        <w:t xml:space="preserve">once </w:t>
                      </w:r>
                      <w:r>
                        <w:rPr>
                          <w:sz w:val="18"/>
                          <w:szCs w:val="18"/>
                        </w:rPr>
                        <w:t xml:space="preserve">the </w:t>
                      </w:r>
                      <w:r w:rsidRPr="00167372">
                        <w:rPr>
                          <w:sz w:val="18"/>
                          <w:szCs w:val="18"/>
                        </w:rPr>
                        <w:t>local centre concept design has been produced</w:t>
                      </w:r>
                      <w:r>
                        <w:rPr>
                          <w:sz w:val="18"/>
                          <w:szCs w:val="18"/>
                        </w:rPr>
                        <w:t>.</w:t>
                      </w:r>
                      <w:r w:rsidRPr="00167372">
                        <w:rPr>
                          <w:sz w:val="18"/>
                          <w:szCs w:val="18"/>
                        </w:rPr>
                        <w:t xml:space="preserve">  </w:t>
                      </w:r>
                    </w:p>
                    <w:p w:rsidR="00377C4A" w:rsidP="00377C4A">
                      <w:pPr>
                        <w:spacing w:after="0" w:line="240" w:lineRule="auto"/>
                        <w:rPr>
                          <w:b/>
                          <w:color w:val="70AD47" w:themeColor="accent6"/>
                        </w:rPr>
                      </w:pPr>
                    </w:p>
                    <w:p w:rsidR="000979DB" w:rsidRPr="000979DB" w:rsidP="008E5FEE">
                      <w:pPr>
                        <w:rPr>
                          <w:sz w:val="18"/>
                          <w:szCs w:val="18"/>
                        </w:rPr>
                      </w:pPr>
                      <w:r w:rsidRPr="00F11542">
                        <w:rPr>
                          <w:b/>
                          <w:color w:val="70AD47" w:themeColor="accent6"/>
                        </w:rPr>
                        <w:t>Grimsargh Green</w:t>
                      </w:r>
                      <w:r w:rsidRPr="00F11542">
                        <w:rPr>
                          <w:color w:val="70AD47" w:themeColor="accent6"/>
                        </w:rPr>
                        <w:t xml:space="preserve"> </w:t>
                      </w:r>
                      <w:r w:rsidRPr="00541F50">
                        <w:t>–</w:t>
                      </w:r>
                      <w:r w:rsidRPr="000979DB" w:rsidR="00B66CD0">
                        <w:rPr>
                          <w:sz w:val="18"/>
                          <w:szCs w:val="18"/>
                        </w:rPr>
                        <w:t xml:space="preserve">This scheme has progressed well.  </w:t>
                      </w:r>
                      <w:r w:rsidRPr="000979DB" w:rsidR="00AE7DB3">
                        <w:rPr>
                          <w:sz w:val="18"/>
                          <w:szCs w:val="18"/>
                        </w:rPr>
                        <w:t xml:space="preserve">The Parish council has agreed to take on any future maintenance responsibilities allowing the scheme to progress to design approved by IDSG which occurred in September.   </w:t>
                      </w:r>
                      <w:r w:rsidRPr="000979DB">
                        <w:rPr>
                          <w:sz w:val="18"/>
                          <w:szCs w:val="18"/>
                        </w:rPr>
                        <w:t xml:space="preserve">The contract has been awarded ahead of schedule.  The duration of the works are minimal but weather dependant, this will affect start on site – currently programmed for Q4. </w:t>
                      </w:r>
                      <w:r w:rsidR="00855176">
                        <w:rPr>
                          <w:sz w:val="18"/>
                          <w:szCs w:val="18"/>
                        </w:rPr>
                        <w:t xml:space="preserve"> </w:t>
                      </w:r>
                    </w:p>
                    <w:p w:rsidR="00EA24EB" w:rsidP="00EA24EB">
                      <w:pPr>
                        <w:rPr>
                          <w:sz w:val="18"/>
                          <w:szCs w:val="18"/>
                        </w:rPr>
                      </w:pPr>
                      <w:r w:rsidRPr="00F11542">
                        <w:rPr>
                          <w:b/>
                          <w:color w:val="70AD47" w:themeColor="accent6"/>
                        </w:rPr>
                        <w:t>Cottam Parkway</w:t>
                      </w:r>
                      <w:r w:rsidRPr="00F11542">
                        <w:rPr>
                          <w:b/>
                          <w:color w:val="70AD47" w:themeColor="accent6"/>
                          <w:sz w:val="18"/>
                          <w:szCs w:val="18"/>
                        </w:rPr>
                        <w:t xml:space="preserve"> </w:t>
                      </w:r>
                      <w:r w:rsidRPr="00E26E9F">
                        <w:rPr>
                          <w:sz w:val="18"/>
                          <w:szCs w:val="18"/>
                        </w:rPr>
                        <w:t>The production of the Grip 3 business case is still underway</w:t>
                      </w:r>
                      <w:r>
                        <w:rPr>
                          <w:sz w:val="18"/>
                          <w:szCs w:val="18"/>
                        </w:rPr>
                        <w:t xml:space="preserve"> with the options report anticipated in</w:t>
                      </w:r>
                      <w:r w:rsidRPr="00E26E9F">
                        <w:rPr>
                          <w:sz w:val="18"/>
                          <w:szCs w:val="18"/>
                        </w:rPr>
                        <w:t xml:space="preserve"> November </w:t>
                      </w:r>
                      <w:r w:rsidRPr="00E26E9F" w:rsidR="004D277C">
                        <w:rPr>
                          <w:sz w:val="18"/>
                          <w:szCs w:val="18"/>
                        </w:rPr>
                        <w:t>2018,</w:t>
                      </w:r>
                      <w:r w:rsidR="00377C4A">
                        <w:rPr>
                          <w:sz w:val="18"/>
                          <w:szCs w:val="18"/>
                        </w:rPr>
                        <w:t xml:space="preserve"> the business case will be completed by </w:t>
                      </w:r>
                      <w:r w:rsidRPr="00E26E9F">
                        <w:rPr>
                          <w:sz w:val="18"/>
                          <w:szCs w:val="18"/>
                        </w:rPr>
                        <w:t xml:space="preserve">December 2018.  </w:t>
                      </w:r>
                    </w:p>
                    <w:p w:rsidR="00E347D2" w:rsidRPr="00F634C8" w:rsidP="00E347D2">
                      <w:pPr>
                        <w:rPr>
                          <w:rFonts w:cs="Arial"/>
                          <w:sz w:val="18"/>
                          <w:szCs w:val="18"/>
                        </w:rPr>
                      </w:pPr>
                      <w:r w:rsidRPr="00F11542">
                        <w:rPr>
                          <w:b/>
                          <w:color w:val="70AD47" w:themeColor="accent6"/>
                        </w:rPr>
                        <w:t xml:space="preserve">Expanded Cities cultural development programme </w:t>
                      </w:r>
                      <w:r w:rsidR="00B2682A">
                        <w:rPr>
                          <w:b/>
                          <w:color w:val="5B9BD5" w:themeColor="accent1"/>
                        </w:rPr>
                        <w:t>–</w:t>
                      </w:r>
                      <w:r w:rsidR="00F11542">
                        <w:rPr>
                          <w:rFonts w:cs="Arial"/>
                          <w:sz w:val="18"/>
                          <w:szCs w:val="18"/>
                        </w:rPr>
                        <w:t>on programme</w:t>
                      </w:r>
                    </w:p>
                    <w:p w:rsidR="003863BC" w:rsidRPr="00645EAF" w:rsidP="003863BC">
                      <w:pPr>
                        <w:rPr>
                          <w:sz w:val="20"/>
                          <w:szCs w:val="20"/>
                        </w:rPr>
                      </w:pPr>
                      <w:r w:rsidRPr="00F11542">
                        <w:rPr>
                          <w:b/>
                          <w:color w:val="70AD47" w:themeColor="accent6"/>
                        </w:rPr>
                        <w:t xml:space="preserve">East Cliff Cycle Link and Bridge </w:t>
                      </w:r>
                      <w:r w:rsidRPr="0027397B">
                        <w:rPr>
                          <w:b/>
                          <w:color w:val="5B9BD5" w:themeColor="accent1"/>
                        </w:rPr>
                        <w:t xml:space="preserve">– </w:t>
                      </w:r>
                      <w:r>
                        <w:rPr>
                          <w:sz w:val="18"/>
                          <w:szCs w:val="18"/>
                        </w:rPr>
                        <w:t xml:space="preserve">Progress has been made with this scheme in that a Pid was approved by IDSG in September and additional funding secured through a s106 agreement to fund the cycle link.  This is subject to clarification around the future funding of maintenance on the route.  Officers are working to develop milestones aligned to the wider East Cliff project.  </w:t>
                      </w:r>
                      <w:r w:rsidRPr="00AE7DB3">
                        <w:rPr>
                          <w:sz w:val="18"/>
                          <w:szCs w:val="18"/>
                        </w:rPr>
                        <w:t xml:space="preserve"> </w:t>
                      </w:r>
                      <w:r w:rsidRPr="00AE7DB3">
                        <w:rPr>
                          <w:b/>
                        </w:rPr>
                        <w:t xml:space="preserve">  </w:t>
                      </w:r>
                    </w:p>
                    <w:p w:rsidR="0008095C" w:rsidRPr="00F634C8" w:rsidP="0027397B">
                      <w:pPr>
                        <w:rPr>
                          <w:sz w:val="18"/>
                          <w:szCs w:val="18"/>
                        </w:rPr>
                      </w:pPr>
                      <w:r w:rsidRPr="00F11542">
                        <w:rPr>
                          <w:b/>
                          <w:color w:val="FFC000" w:themeColor="accent4"/>
                        </w:rPr>
                        <w:t>Preston City Transport Plan –</w:t>
                      </w:r>
                      <w:r w:rsidRPr="00F11542">
                        <w:rPr>
                          <w:b/>
                          <w:color w:val="FFC000" w:themeColor="accent4"/>
                          <w:sz w:val="18"/>
                          <w:szCs w:val="18"/>
                        </w:rPr>
                        <w:t xml:space="preserve"> </w:t>
                      </w:r>
                      <w:r w:rsidRPr="00F634C8">
                        <w:rPr>
                          <w:sz w:val="18"/>
                          <w:szCs w:val="18"/>
                        </w:rPr>
                        <w:t xml:space="preserve">the consultant's </w:t>
                      </w:r>
                      <w:r w:rsidR="00F634C8">
                        <w:rPr>
                          <w:sz w:val="18"/>
                          <w:szCs w:val="18"/>
                        </w:rPr>
                        <w:t xml:space="preserve">element of the work will complete as planned in December.  The next stage will require officer input to consider </w:t>
                      </w:r>
                      <w:r w:rsidR="002774DF">
                        <w:rPr>
                          <w:sz w:val="18"/>
                          <w:szCs w:val="18"/>
                        </w:rPr>
                        <w:t xml:space="preserve">the </w:t>
                      </w:r>
                      <w:r w:rsidR="00F634C8">
                        <w:rPr>
                          <w:sz w:val="18"/>
                          <w:szCs w:val="18"/>
                        </w:rPr>
                        <w:t>finding</w:t>
                      </w:r>
                      <w:r w:rsidR="002774DF">
                        <w:rPr>
                          <w:sz w:val="18"/>
                          <w:szCs w:val="18"/>
                        </w:rPr>
                        <w:t>s</w:t>
                      </w:r>
                      <w:r w:rsidR="00F634C8">
                        <w:rPr>
                          <w:sz w:val="18"/>
                          <w:szCs w:val="18"/>
                        </w:rPr>
                        <w:t xml:space="preserve"> and prepare a delivery plan – competing priorities and lack of resources is likely to impact on this</w:t>
                      </w:r>
                      <w:r w:rsidR="002774DF">
                        <w:rPr>
                          <w:sz w:val="18"/>
                          <w:szCs w:val="18"/>
                        </w:rPr>
                        <w:t xml:space="preserve"> timescales so the</w:t>
                      </w:r>
                      <w:r w:rsidR="00F634C8">
                        <w:rPr>
                          <w:sz w:val="18"/>
                          <w:szCs w:val="18"/>
                        </w:rPr>
                        <w:t xml:space="preserve"> scheme has been rated amber.</w:t>
                      </w:r>
                    </w:p>
                    <w:p w:rsidR="0027397B" w:rsidRPr="00F634C8" w:rsidP="0027397B">
                      <w:pPr>
                        <w:rPr>
                          <w:sz w:val="18"/>
                          <w:szCs w:val="18"/>
                        </w:rPr>
                      </w:pPr>
                      <w:r w:rsidRPr="00F11542">
                        <w:rPr>
                          <w:b/>
                          <w:color w:val="FFC000" w:themeColor="accent4"/>
                        </w:rPr>
                        <w:t>C</w:t>
                      </w:r>
                      <w:r w:rsidRPr="00F11542">
                        <w:rPr>
                          <w:b/>
                          <w:color w:val="FFC000" w:themeColor="accent4"/>
                        </w:rPr>
                        <w:t>ycling and Walking Delivery plan and Corridors Master Planning</w:t>
                      </w:r>
                      <w:r w:rsidRPr="00F11542">
                        <w:rPr>
                          <w:color w:val="FFC000" w:themeColor="accent4"/>
                          <w:sz w:val="18"/>
                          <w:szCs w:val="18"/>
                        </w:rPr>
                        <w:t xml:space="preserve"> </w:t>
                      </w:r>
                      <w:r w:rsidRPr="00F11542">
                        <w:rPr>
                          <w:b/>
                          <w:color w:val="FFC000" w:themeColor="accent4"/>
                          <w:sz w:val="18"/>
                          <w:szCs w:val="18"/>
                        </w:rPr>
                        <w:t>–</w:t>
                      </w:r>
                      <w:r w:rsidRPr="00F11542" w:rsidR="00F634C8">
                        <w:rPr>
                          <w:b/>
                          <w:color w:val="FFC000" w:themeColor="accent4"/>
                          <w:sz w:val="18"/>
                          <w:szCs w:val="18"/>
                        </w:rPr>
                        <w:t xml:space="preserve"> </w:t>
                      </w:r>
                      <w:r w:rsidRPr="00F634C8" w:rsidR="00F634C8">
                        <w:rPr>
                          <w:sz w:val="18"/>
                          <w:szCs w:val="18"/>
                        </w:rPr>
                        <w:t>The consultants work has now completed but as with the City Transport Plan significant resource is required to prioritise and formulate a delivery plan, limited resources place this scheme as amber.</w:t>
                      </w:r>
                    </w:p>
                    <w:p w:rsidR="003863BC"/>
                  </w:txbxContent>
                </v:textbox>
              </v:roundrect>
            </w:pict>
          </mc:Fallback>
        </mc:AlternateContent>
      </w:r>
      <w:r w:rsidR="001A0CBB">
        <w:rPr>
          <w:noProof/>
          <w:lang w:eastAsia="en-GB"/>
        </w:rPr>
        <mc:AlternateContent>
          <mc:Choice Requires="wps">
            <w:drawing>
              <wp:anchor distT="0" distB="0" distL="114300" distR="114300" simplePos="0" relativeHeight="251658240" behindDoc="0" locked="0" layoutInCell="1" allowOverlap="1">
                <wp:simplePos x="0" y="0"/>
                <wp:positionH relativeFrom="column">
                  <wp:posOffset>-307340</wp:posOffset>
                </wp:positionH>
                <wp:positionV relativeFrom="paragraph">
                  <wp:posOffset>-407786</wp:posOffset>
                </wp:positionV>
                <wp:extent cx="14565630" cy="10309411"/>
                <wp:effectExtent l="19050" t="19050" r="26670" b="15875"/>
                <wp:wrapNone/>
                <wp:docPr id="1" name="Rounded 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14565630" cy="10309411"/>
                        </a:xfrm>
                        <a:prstGeom prst="roundRect">
                          <a:avLst>
                            <a:gd name="adj" fmla="val 1038"/>
                          </a:avLst>
                        </a:prstGeom>
                        <a:solidFill>
                          <a:schemeClr val="accent1">
                            <a:lumMod val="20000"/>
                            <a:lumOff val="80000"/>
                          </a:schemeClr>
                        </a:solidFill>
                        <a:ln w="317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1" o:spid="_x0000_s1031" style="width:1146.9pt;height:811.75pt;margin-top:-32.1pt;margin-left:-24.2pt;mso-height-percent:0;mso-height-relative:margin;mso-width-percent:0;mso-width-relative:margin;mso-wrap-distance-bottom:0;mso-wrap-distance-left:9pt;mso-wrap-distance-right:9pt;mso-wrap-distance-top:0;mso-wrap-style:square;position:absolute;visibility:visible;v-text-anchor:middle;z-index:251659264" arcsize="680f" fillcolor="#deeaf6" strokecolor="#1f4d78" strokeweight="2.5pt">
                <v:stroke joinstyle="miter"/>
              </v:roundrect>
            </w:pict>
          </mc:Fallback>
        </mc:AlternateContent>
      </w:r>
      <w:r w:rsidR="001A0CBB">
        <w:rPr>
          <w:noProof/>
          <w:lang w:eastAsia="en-GB"/>
        </w:rPr>
        <mc:AlternateContent>
          <mc:Choice Requires="wps">
            <w:drawing>
              <wp:anchor distT="0" distB="0" distL="114300" distR="114300" simplePos="0" relativeHeight="251664384" behindDoc="0" locked="0" layoutInCell="1" allowOverlap="1">
                <wp:simplePos x="0" y="0"/>
                <wp:positionH relativeFrom="column">
                  <wp:posOffset>-218029</wp:posOffset>
                </wp:positionH>
                <wp:positionV relativeFrom="paragraph">
                  <wp:posOffset>-126178</wp:posOffset>
                </wp:positionV>
                <wp:extent cx="5721985" cy="569744"/>
                <wp:effectExtent l="0" t="0" r="12065" b="20955"/>
                <wp:wrapNone/>
                <wp:docPr id="54" name="Rounded Rectangle 54"/>
                <wp:cNvGraphicFramePr/>
                <a:graphic xmlns:a="http://schemas.openxmlformats.org/drawingml/2006/main">
                  <a:graphicData uri="http://schemas.microsoft.com/office/word/2010/wordprocessingShape">
                    <wps:wsp xmlns:wps="http://schemas.microsoft.com/office/word/2010/wordprocessingShape">
                      <wps:cNvSpPr/>
                      <wps:spPr>
                        <a:xfrm>
                          <a:off x="0" y="0"/>
                          <a:ext cx="5721985" cy="569744"/>
                        </a:xfrm>
                        <a:prstGeom prst="roundRect">
                          <a:avLst>
                            <a:gd name="adj" fmla="val 1702"/>
                          </a:avLst>
                        </a:prstGeom>
                        <a:solidFill>
                          <a:sysClr val="window" lastClr="FFFFFF"/>
                        </a:solidFill>
                        <a:ln w="12700">
                          <a:solidFill>
                            <a:srgbClr val="5B9BD5"/>
                          </a:solidFill>
                          <a:miter lim="800000"/>
                        </a:ln>
                        <a:effectLst/>
                      </wps:spPr>
                      <wps:txbx>
                        <w:txbxContent>
                          <w:p w:rsidR="001D26E0" w:rsidRPr="00A20199" w:rsidP="00CC127D">
                            <w:pPr>
                              <w:spacing w:after="120" w:line="240" w:lineRule="auto"/>
                              <w:rPr>
                                <w:b/>
                                <w:color w:val="5B9BD5" w:themeColor="accent1"/>
                                <w:sz w:val="28"/>
                              </w:rPr>
                            </w:pPr>
                            <w:r w:rsidRPr="00A20199">
                              <w:rPr>
                                <w:b/>
                                <w:color w:val="5B9BD5" w:themeColor="accent1"/>
                                <w:sz w:val="28"/>
                              </w:rPr>
                              <w:t>Infrastructure Delivery</w:t>
                            </w:r>
                            <w:r w:rsidRPr="00A20199" w:rsidR="009A26C6">
                              <w:rPr>
                                <w:b/>
                                <w:color w:val="5B9BD5" w:themeColor="accent1"/>
                                <w:sz w:val="28"/>
                              </w:rPr>
                              <w:t xml:space="preserve"> </w:t>
                            </w:r>
                            <w:r w:rsidRPr="00A20199" w:rsidR="00FE3F92">
                              <w:rPr>
                                <w:b/>
                                <w:color w:val="5B9BD5" w:themeColor="accent1"/>
                                <w:sz w:val="28"/>
                              </w:rPr>
                              <w:t>–</w:t>
                            </w:r>
                            <w:r w:rsidRPr="00A20199" w:rsidR="00650042">
                              <w:rPr>
                                <w:b/>
                                <w:color w:val="5B9BD5" w:themeColor="accent1"/>
                                <w:sz w:val="28"/>
                              </w:rPr>
                              <w:t xml:space="preserve"> </w:t>
                            </w:r>
                            <w:r w:rsidRPr="00A20199" w:rsidR="00FE3F92">
                              <w:rPr>
                                <w:b/>
                                <w:color w:val="5B9BD5" w:themeColor="accent1"/>
                                <w:sz w:val="28"/>
                              </w:rPr>
                              <w:t xml:space="preserve">Year 5 - </w:t>
                            </w:r>
                            <w:r w:rsidRPr="00A20199" w:rsidR="00650042">
                              <w:rPr>
                                <w:b/>
                                <w:color w:val="5B9BD5" w:themeColor="accent1"/>
                                <w:sz w:val="28"/>
                              </w:rPr>
                              <w:t xml:space="preserve">Quarter </w:t>
                            </w:r>
                            <w:r w:rsidRPr="00A20199" w:rsidR="004508B1">
                              <w:rPr>
                                <w:b/>
                                <w:color w:val="5B9BD5" w:themeColor="accent1"/>
                                <w:sz w:val="28"/>
                              </w:rPr>
                              <w:t>2 - July –September 2018</w:t>
                            </w:r>
                            <w:r w:rsidRPr="00A20199" w:rsidR="00650042">
                              <w:rPr>
                                <w:b/>
                                <w:color w:val="5B9BD5" w:themeColor="accent1"/>
                                <w:sz w:val="28"/>
                              </w:rPr>
                              <w:t xml:space="preserve">   </w:t>
                            </w:r>
                            <w:r w:rsidRPr="00A20199" w:rsidR="004A5294">
                              <w:rPr>
                                <w:b/>
                                <w:color w:val="5B9BD5" w:themeColor="accent1"/>
                                <w:sz w:val="28"/>
                              </w:rPr>
                              <w:t xml:space="preserve">                </w:t>
                            </w:r>
                          </w:p>
                          <w:p w:rsidR="001D26E0" w:rsidRPr="00A2125B" w:rsidP="00AC1025">
                            <w:pPr>
                              <w:jc w:val="both"/>
                              <w:rPr>
                                <w:sz w:val="18"/>
                                <w:szCs w:val="18"/>
                              </w:rPr>
                            </w:pPr>
                            <w:r w:rsidRPr="00A2125B">
                              <w:rPr>
                                <w:sz w:val="18"/>
                                <w:szCs w:val="18"/>
                              </w:rPr>
                              <w:t xml:space="preserve">This </w:t>
                            </w:r>
                            <w:r w:rsidRPr="00A2125B" w:rsidR="009C021E">
                              <w:rPr>
                                <w:sz w:val="18"/>
                                <w:szCs w:val="18"/>
                              </w:rPr>
                              <w:t>dashboard</w:t>
                            </w:r>
                            <w:r w:rsidRPr="00A2125B">
                              <w:rPr>
                                <w:sz w:val="18"/>
                                <w:szCs w:val="18"/>
                              </w:rPr>
                              <w:t xml:space="preserve"> provides an overview of how the</w:t>
                            </w:r>
                            <w:r w:rsidRPr="00A2125B" w:rsidR="00A425EC">
                              <w:rPr>
                                <w:sz w:val="18"/>
                                <w:szCs w:val="18"/>
                              </w:rPr>
                              <w:t xml:space="preserve"> CD Infrastructure Projects have</w:t>
                            </w:r>
                            <w:r w:rsidRPr="00A2125B">
                              <w:rPr>
                                <w:sz w:val="18"/>
                                <w:szCs w:val="18"/>
                              </w:rPr>
                              <w:t xml:space="preserve"> performed during </w:t>
                            </w:r>
                            <w:r w:rsidRPr="00A2125B" w:rsidR="008A0ACC">
                              <w:rPr>
                                <w:sz w:val="18"/>
                                <w:szCs w:val="18"/>
                              </w:rPr>
                              <w:t>Q</w:t>
                            </w:r>
                            <w:r w:rsidR="004508B1">
                              <w:rPr>
                                <w:sz w:val="18"/>
                                <w:szCs w:val="18"/>
                              </w:rPr>
                              <w:t>2 July-Sept 2018</w:t>
                            </w:r>
                          </w:p>
                          <w:p w:rsidR="001D26E0" w:rsidP="003D0CAD"/>
                          <w:p w:rsidR="001D26E0" w:rsidP="003D0CAD"/>
                          <w:p w:rsidR="001D26E0" w:rsidP="003D0CAD"/>
                          <w:p w:rsidR="001D26E0" w:rsidRPr="00151796" w:rsidP="003D0CA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54" o:spid="_x0000_s1032" style="width:450.55pt;height:44.85pt;margin-top:-9.95pt;margin-left:-17.15pt;mso-height-percent:0;mso-height-relative:margin;mso-width-percent:0;mso-width-relative:margin;mso-wrap-distance-bottom:0;mso-wrap-distance-left:9pt;mso-wrap-distance-right:9pt;mso-wrap-distance-top:0;mso-wrap-style:square;position:absolute;visibility:visible;v-text-anchor:top;z-index:251665408" arcsize="1117f" fillcolor="window" strokecolor="#5b9bd5" strokeweight="1pt">
                <v:stroke joinstyle="miter"/>
                <v:textbox>
                  <w:txbxContent>
                    <w:p w:rsidR="001D26E0" w:rsidRPr="00A20199" w:rsidP="00CC127D">
                      <w:pPr>
                        <w:spacing w:after="120" w:line="240" w:lineRule="auto"/>
                        <w:rPr>
                          <w:b/>
                          <w:color w:val="5B9BD5" w:themeColor="accent1"/>
                          <w:sz w:val="28"/>
                        </w:rPr>
                      </w:pPr>
                      <w:r w:rsidRPr="00A20199">
                        <w:rPr>
                          <w:b/>
                          <w:color w:val="5B9BD5" w:themeColor="accent1"/>
                          <w:sz w:val="28"/>
                        </w:rPr>
                        <w:t>Infrastructure Delivery</w:t>
                      </w:r>
                      <w:r w:rsidRPr="00A20199" w:rsidR="009A26C6">
                        <w:rPr>
                          <w:b/>
                          <w:color w:val="5B9BD5" w:themeColor="accent1"/>
                          <w:sz w:val="28"/>
                        </w:rPr>
                        <w:t xml:space="preserve"> </w:t>
                      </w:r>
                      <w:r w:rsidRPr="00A20199" w:rsidR="00FE3F92">
                        <w:rPr>
                          <w:b/>
                          <w:color w:val="5B9BD5" w:themeColor="accent1"/>
                          <w:sz w:val="28"/>
                        </w:rPr>
                        <w:t>–</w:t>
                      </w:r>
                      <w:r w:rsidRPr="00A20199" w:rsidR="00650042">
                        <w:rPr>
                          <w:b/>
                          <w:color w:val="5B9BD5" w:themeColor="accent1"/>
                          <w:sz w:val="28"/>
                        </w:rPr>
                        <w:t xml:space="preserve"> </w:t>
                      </w:r>
                      <w:r w:rsidRPr="00A20199" w:rsidR="00FE3F92">
                        <w:rPr>
                          <w:b/>
                          <w:color w:val="5B9BD5" w:themeColor="accent1"/>
                          <w:sz w:val="28"/>
                        </w:rPr>
                        <w:t xml:space="preserve">Year 5 - </w:t>
                      </w:r>
                      <w:r w:rsidRPr="00A20199" w:rsidR="00650042">
                        <w:rPr>
                          <w:b/>
                          <w:color w:val="5B9BD5" w:themeColor="accent1"/>
                          <w:sz w:val="28"/>
                        </w:rPr>
                        <w:t xml:space="preserve">Quarter </w:t>
                      </w:r>
                      <w:r w:rsidRPr="00A20199" w:rsidR="004508B1">
                        <w:rPr>
                          <w:b/>
                          <w:color w:val="5B9BD5" w:themeColor="accent1"/>
                          <w:sz w:val="28"/>
                        </w:rPr>
                        <w:t>2 - July –September 2018</w:t>
                      </w:r>
                      <w:r w:rsidRPr="00A20199" w:rsidR="00650042">
                        <w:rPr>
                          <w:b/>
                          <w:color w:val="5B9BD5" w:themeColor="accent1"/>
                          <w:sz w:val="28"/>
                        </w:rPr>
                        <w:t xml:space="preserve">   </w:t>
                      </w:r>
                      <w:r w:rsidRPr="00A20199" w:rsidR="004A5294">
                        <w:rPr>
                          <w:b/>
                          <w:color w:val="5B9BD5" w:themeColor="accent1"/>
                          <w:sz w:val="28"/>
                        </w:rPr>
                        <w:t xml:space="preserve">                </w:t>
                      </w:r>
                    </w:p>
                    <w:p w:rsidR="001D26E0" w:rsidRPr="00A2125B" w:rsidP="00AC1025">
                      <w:pPr>
                        <w:jc w:val="both"/>
                        <w:rPr>
                          <w:sz w:val="18"/>
                          <w:szCs w:val="18"/>
                        </w:rPr>
                      </w:pPr>
                      <w:r w:rsidRPr="00A2125B">
                        <w:rPr>
                          <w:sz w:val="18"/>
                          <w:szCs w:val="18"/>
                        </w:rPr>
                        <w:t xml:space="preserve">This </w:t>
                      </w:r>
                      <w:r w:rsidRPr="00A2125B" w:rsidR="009C021E">
                        <w:rPr>
                          <w:sz w:val="18"/>
                          <w:szCs w:val="18"/>
                        </w:rPr>
                        <w:t>dashboard</w:t>
                      </w:r>
                      <w:r w:rsidRPr="00A2125B">
                        <w:rPr>
                          <w:sz w:val="18"/>
                          <w:szCs w:val="18"/>
                        </w:rPr>
                        <w:t xml:space="preserve"> provides an overview of how the</w:t>
                      </w:r>
                      <w:r w:rsidRPr="00A2125B" w:rsidR="00A425EC">
                        <w:rPr>
                          <w:sz w:val="18"/>
                          <w:szCs w:val="18"/>
                        </w:rPr>
                        <w:t xml:space="preserve"> CD Infrastructure Projects have</w:t>
                      </w:r>
                      <w:r w:rsidRPr="00A2125B">
                        <w:rPr>
                          <w:sz w:val="18"/>
                          <w:szCs w:val="18"/>
                        </w:rPr>
                        <w:t xml:space="preserve"> performed during </w:t>
                      </w:r>
                      <w:r w:rsidRPr="00A2125B" w:rsidR="008A0ACC">
                        <w:rPr>
                          <w:sz w:val="18"/>
                          <w:szCs w:val="18"/>
                        </w:rPr>
                        <w:t>Q</w:t>
                      </w:r>
                      <w:r w:rsidR="004508B1">
                        <w:rPr>
                          <w:sz w:val="18"/>
                          <w:szCs w:val="18"/>
                        </w:rPr>
                        <w:t>2 July-Sept 2018</w:t>
                      </w:r>
                    </w:p>
                    <w:p w:rsidR="001D26E0" w:rsidP="003D0CAD"/>
                    <w:p w:rsidR="001D26E0" w:rsidP="003D0CAD"/>
                    <w:p w:rsidR="001D26E0" w:rsidP="003D0CAD"/>
                    <w:p w:rsidR="001D26E0" w:rsidRPr="00151796" w:rsidP="003D0CAD"/>
                  </w:txbxContent>
                </v:textbox>
              </v:roundrect>
            </w:pict>
          </mc:Fallback>
        </mc:AlternateContent>
      </w:r>
    </w:p>
    <w:sectPr w:rsidSect="002C5AC9">
      <w:headerReference w:type="even" r:id="rId5"/>
      <w:headerReference w:type="default" r:id="rId6"/>
      <w:footerReference w:type="even" r:id="rId7"/>
      <w:footerReference w:type="default" r:id="rId8"/>
      <w:headerReference w:type="first" r:id="rId9"/>
      <w:footerReference w:type="first" r:id="rId10"/>
      <w:pgSz w:w="23814" w:h="16839" w:orient="landscape" w:code="8"/>
      <w:pgMar w:top="0" w:right="1021" w:bottom="568"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3D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3D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3D4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3D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3D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3D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70DA7"/>
    <w:multiLevelType w:val="hybridMultilevel"/>
    <w:tmpl w:val="CA7A4738"/>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B24B79"/>
    <w:multiLevelType w:val="hybridMultilevel"/>
    <w:tmpl w:val="CA7A4738"/>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386619"/>
    <w:multiLevelType w:val="hybridMultilevel"/>
    <w:tmpl w:val="96B63362"/>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77F41B7"/>
    <w:multiLevelType w:val="hybridMultilevel"/>
    <w:tmpl w:val="8D9AF1EC"/>
    <w:lvl w:ilvl="0">
      <w:start w:val="1"/>
      <w:numFmt w:val="decimal"/>
      <w:lvlText w:val="%1."/>
      <w:lvlJc w:val="left"/>
      <w:pPr>
        <w:ind w:left="1146" w:hanging="360"/>
      </w:p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4">
    <w:nsid w:val="081A73F7"/>
    <w:multiLevelType w:val="hybridMultilevel"/>
    <w:tmpl w:val="226CDE76"/>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C2F12AB"/>
    <w:multiLevelType w:val="hybridMultilevel"/>
    <w:tmpl w:val="CA7A4738"/>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393146F"/>
    <w:multiLevelType w:val="hybridMultilevel"/>
    <w:tmpl w:val="CA7A4738"/>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6E7482A"/>
    <w:multiLevelType w:val="hybridMultilevel"/>
    <w:tmpl w:val="59B25706"/>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7392063"/>
    <w:multiLevelType w:val="hybridMultilevel"/>
    <w:tmpl w:val="A73640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AAF740E"/>
    <w:multiLevelType w:val="hybridMultilevel"/>
    <w:tmpl w:val="29A4D9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D784C0F"/>
    <w:multiLevelType w:val="hybridMultilevel"/>
    <w:tmpl w:val="CA7A4738"/>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1AA1C4B"/>
    <w:multiLevelType w:val="hybridMultilevel"/>
    <w:tmpl w:val="F7BECDF0"/>
    <w:lvl w:ilvl="0">
      <w:start w:val="1"/>
      <w:numFmt w:val="decimal"/>
      <w:lvlText w:val="%1."/>
      <w:lvlJc w:val="left"/>
      <w:pPr>
        <w:ind w:left="720" w:hanging="360"/>
      </w:pPr>
      <w:rPr>
        <w:b/>
        <w:color w:val="00B0F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51F3E1F"/>
    <w:multiLevelType w:val="hybridMultilevel"/>
    <w:tmpl w:val="F5CEAAC2"/>
    <w:lvl w:ilvl="0">
      <w:start w:val="0"/>
      <w:numFmt w:val="bullet"/>
      <w:lvlText w:val=""/>
      <w:lvlJc w:val="left"/>
      <w:pPr>
        <w:ind w:left="720" w:hanging="360"/>
      </w:pPr>
      <w:rPr>
        <w:rFonts w:ascii="Symbol" w:hAnsi="Symbo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9AE45A4"/>
    <w:multiLevelType w:val="hybridMultilevel"/>
    <w:tmpl w:val="CA7A4738"/>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B0E7A83"/>
    <w:multiLevelType w:val="hybridMultilevel"/>
    <w:tmpl w:val="CA7A4738"/>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CE34DE5"/>
    <w:multiLevelType w:val="hybridMultilevel"/>
    <w:tmpl w:val="CA7A4738"/>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D0C35B7"/>
    <w:multiLevelType w:val="hybridMultilevel"/>
    <w:tmpl w:val="CA7A4738"/>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EBD0991"/>
    <w:multiLevelType w:val="hybridMultilevel"/>
    <w:tmpl w:val="226CDE76"/>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1922EE5"/>
    <w:multiLevelType w:val="hybridMultilevel"/>
    <w:tmpl w:val="CA7A4738"/>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19D6ACB"/>
    <w:multiLevelType w:val="hybridMultilevel"/>
    <w:tmpl w:val="CA7A4738"/>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4663223"/>
    <w:multiLevelType w:val="hybridMultilevel"/>
    <w:tmpl w:val="69CC1CBC"/>
    <w:lvl w:ilvl="0">
      <w:start w:val="1"/>
      <w:numFmt w:val="decimal"/>
      <w:lvlText w:val="%1."/>
      <w:lvlJc w:val="left"/>
      <w:pPr>
        <w:ind w:left="1146" w:hanging="360"/>
      </w:p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21">
    <w:nsid w:val="477E651E"/>
    <w:multiLevelType w:val="hybridMultilevel"/>
    <w:tmpl w:val="0DE8E01A"/>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7D14FF8"/>
    <w:multiLevelType w:val="hybridMultilevel"/>
    <w:tmpl w:val="CA7A4738"/>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96C7538"/>
    <w:multiLevelType w:val="hybridMultilevel"/>
    <w:tmpl w:val="96B63362"/>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C5E7748"/>
    <w:multiLevelType w:val="hybridMultilevel"/>
    <w:tmpl w:val="CA7A4738"/>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E6C4EBC"/>
    <w:multiLevelType w:val="hybridMultilevel"/>
    <w:tmpl w:val="CA7A4738"/>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E765ADF"/>
    <w:multiLevelType w:val="hybridMultilevel"/>
    <w:tmpl w:val="A73640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3174DE2"/>
    <w:multiLevelType w:val="hybridMultilevel"/>
    <w:tmpl w:val="4DBCBF1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1EC579C"/>
    <w:multiLevelType w:val="hybridMultilevel"/>
    <w:tmpl w:val="A3E8658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96A6818"/>
    <w:multiLevelType w:val="hybridMultilevel"/>
    <w:tmpl w:val="CA7A4738"/>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EE7741D"/>
    <w:multiLevelType w:val="hybridMultilevel"/>
    <w:tmpl w:val="96B63362"/>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FFC55B5"/>
    <w:multiLevelType w:val="hybridMultilevel"/>
    <w:tmpl w:val="A1327EE4"/>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nsid w:val="73B5366C"/>
    <w:multiLevelType w:val="hybridMultilevel"/>
    <w:tmpl w:val="226CDE76"/>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53127AA"/>
    <w:multiLevelType w:val="hybridMultilevel"/>
    <w:tmpl w:val="CA7A4738"/>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8F51DDE"/>
    <w:multiLevelType w:val="hybridMultilevel"/>
    <w:tmpl w:val="CA7A4738"/>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9494992"/>
    <w:multiLevelType w:val="hybridMultilevel"/>
    <w:tmpl w:val="CA7A4738"/>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B9F62F2"/>
    <w:multiLevelType w:val="hybridMultilevel"/>
    <w:tmpl w:val="57C80F52"/>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37">
    <w:nsid w:val="7DA8634D"/>
    <w:multiLevelType w:val="hybridMultilevel"/>
    <w:tmpl w:val="96B63362"/>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8"/>
  </w:num>
  <w:num w:numId="2">
    <w:abstractNumId w:val="11"/>
  </w:num>
  <w:num w:numId="3">
    <w:abstractNumId w:val="31"/>
  </w:num>
  <w:num w:numId="4">
    <w:abstractNumId w:val="7"/>
  </w:num>
  <w:num w:numId="5">
    <w:abstractNumId w:val="27"/>
  </w:num>
  <w:num w:numId="6">
    <w:abstractNumId w:val="24"/>
  </w:num>
  <w:num w:numId="7">
    <w:abstractNumId w:val="36"/>
  </w:num>
  <w:num w:numId="8">
    <w:abstractNumId w:val="21"/>
  </w:num>
  <w:num w:numId="9">
    <w:abstractNumId w:val="30"/>
  </w:num>
  <w:num w:numId="10">
    <w:abstractNumId w:val="37"/>
  </w:num>
  <w:num w:numId="11">
    <w:abstractNumId w:val="2"/>
  </w:num>
  <w:num w:numId="12">
    <w:abstractNumId w:val="23"/>
  </w:num>
  <w:num w:numId="13">
    <w:abstractNumId w:val="12"/>
  </w:num>
  <w:num w:numId="14">
    <w:abstractNumId w:val="32"/>
  </w:num>
  <w:num w:numId="15">
    <w:abstractNumId w:val="17"/>
  </w:num>
  <w:num w:numId="16">
    <w:abstractNumId w:val="4"/>
  </w:num>
  <w:num w:numId="17">
    <w:abstractNumId w:val="15"/>
  </w:num>
  <w:num w:numId="18">
    <w:abstractNumId w:val="33"/>
  </w:num>
  <w:num w:numId="19">
    <w:abstractNumId w:val="18"/>
  </w:num>
  <w:num w:numId="20">
    <w:abstractNumId w:val="13"/>
  </w:num>
  <w:num w:numId="21">
    <w:abstractNumId w:val="22"/>
  </w:num>
  <w:num w:numId="22">
    <w:abstractNumId w:val="35"/>
  </w:num>
  <w:num w:numId="23">
    <w:abstractNumId w:val="6"/>
  </w:num>
  <w:num w:numId="24">
    <w:abstractNumId w:val="10"/>
  </w:num>
  <w:num w:numId="25">
    <w:abstractNumId w:val="0"/>
  </w:num>
  <w:num w:numId="26">
    <w:abstractNumId w:val="25"/>
  </w:num>
  <w:num w:numId="27">
    <w:abstractNumId w:val="14"/>
  </w:num>
  <w:num w:numId="28">
    <w:abstractNumId w:val="34"/>
  </w:num>
  <w:num w:numId="29">
    <w:abstractNumId w:val="1"/>
  </w:num>
  <w:num w:numId="30">
    <w:abstractNumId w:val="29"/>
  </w:num>
  <w:num w:numId="31">
    <w:abstractNumId w:val="5"/>
  </w:num>
  <w:num w:numId="32">
    <w:abstractNumId w:val="16"/>
  </w:num>
  <w:num w:numId="33">
    <w:abstractNumId w:val="19"/>
  </w:num>
  <w:num w:numId="34">
    <w:abstractNumId w:val="3"/>
  </w:num>
  <w:num w:numId="35">
    <w:abstractNumId w:val="20"/>
  </w:num>
  <w:num w:numId="36">
    <w:abstractNumId w:val="8"/>
  </w:num>
  <w:num w:numId="37">
    <w:abstractNumId w:val="26"/>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05B"/>
    <w:pPr>
      <w:ind w:left="720"/>
      <w:contextualSpacing/>
    </w:pPr>
  </w:style>
  <w:style w:type="table" w:styleId="TableGrid">
    <w:name w:val="Table Grid"/>
    <w:basedOn w:val="TableNormal"/>
    <w:rsid w:val="005C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0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DBC"/>
    <w:rPr>
      <w:rFonts w:ascii="Segoe UI" w:hAnsi="Segoe UI" w:cs="Segoe UI"/>
      <w:sz w:val="18"/>
      <w:szCs w:val="18"/>
    </w:rPr>
  </w:style>
  <w:style w:type="paragraph" w:styleId="Header">
    <w:name w:val="header"/>
    <w:basedOn w:val="Normal"/>
    <w:link w:val="HeaderChar"/>
    <w:uiPriority w:val="99"/>
    <w:unhideWhenUsed/>
    <w:rsid w:val="00003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D45"/>
  </w:style>
  <w:style w:type="paragraph" w:styleId="Footer">
    <w:name w:val="footer"/>
    <w:basedOn w:val="Normal"/>
    <w:link w:val="FooterChar"/>
    <w:uiPriority w:val="99"/>
    <w:unhideWhenUsed/>
    <w:rsid w:val="00003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 lastClr="FFFFFF"/>
        </a:solidFill>
        <a:ln w="12700" cap="flat" cmpd="sng" algn="ctr">
          <a:solidFill>
            <a:srgbClr val="5B9BD5"/>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Mulla, Hussein</dc:creator>
  <cp:lastModifiedBy>Hudson, Joanne</cp:lastModifiedBy>
  <cp:revision>16</cp:revision>
  <cp:lastPrinted>2018-10-15T15:22:00Z</cp:lastPrinted>
  <dcterms:created xsi:type="dcterms:W3CDTF">2018-10-16T12:50:00Z</dcterms:created>
  <dcterms:modified xsi:type="dcterms:W3CDTF">2018-12-06T10:17:00Z</dcterms:modified>
</cp:coreProperties>
</file>